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5BD" w:rsidRDefault="00BD2EEA" w:rsidP="00BD2EEA">
      <w:pPr>
        <w:pStyle w:val="1"/>
      </w:pPr>
      <w:r>
        <w:t>1. Здание Дома культуры меланжевого комбината</w:t>
      </w:r>
    </w:p>
    <w:p w:rsidR="001803B0" w:rsidRDefault="001803B0" w:rsidP="0088529D">
      <w:pPr>
        <w:pStyle w:val="2"/>
        <w:rPr>
          <w:rStyle w:val="a5"/>
          <w:b/>
          <w:bCs/>
        </w:rPr>
      </w:pPr>
      <w:r>
        <w:rPr>
          <w:rStyle w:val="a5"/>
          <w:b/>
          <w:bCs/>
        </w:rPr>
        <w:t xml:space="preserve">1.1. </w:t>
      </w:r>
      <w:r w:rsidRPr="001803B0">
        <w:rPr>
          <w:rStyle w:val="a5"/>
          <w:b/>
          <w:bCs/>
        </w:rPr>
        <w:t xml:space="preserve">Описание внешнего и внутреннего вида </w:t>
      </w:r>
      <w:r w:rsidR="00C4000F">
        <w:rPr>
          <w:rStyle w:val="a5"/>
          <w:b/>
          <w:bCs/>
        </w:rPr>
        <w:t xml:space="preserve">и состояния </w:t>
      </w:r>
      <w:r w:rsidRPr="001803B0">
        <w:rPr>
          <w:rStyle w:val="a5"/>
          <w:b/>
          <w:bCs/>
        </w:rPr>
        <w:t>объекта, его пространственной, планировочной</w:t>
      </w:r>
      <w:r w:rsidR="00057976">
        <w:rPr>
          <w:rStyle w:val="a5"/>
          <w:b/>
          <w:bCs/>
        </w:rPr>
        <w:t xml:space="preserve"> и функциональной организации</w:t>
      </w:r>
    </w:p>
    <w:p w:rsidR="00CE7C6C" w:rsidRDefault="00A6085C" w:rsidP="00B266CB">
      <w:r w:rsidRPr="00A6085C">
        <w:t>Дом культуры меланжевого комбината расположен по адресу</w:t>
      </w:r>
      <w:r w:rsidR="00376D60">
        <w:t xml:space="preserve"> </w:t>
      </w:r>
      <w:r w:rsidR="003D5070">
        <w:br/>
      </w:r>
      <w:hyperlink r:id="rId8" w:tooltip="3-ya Sosnevskaya ulitsa, 139, Ivanovo" w:history="1">
        <w:r w:rsidRPr="00A6085C">
          <w:t>3-я Сосневская улица, 139</w:t>
        </w:r>
      </w:hyperlink>
      <w:r w:rsidR="00225882">
        <w:t>.</w:t>
      </w:r>
      <w:r w:rsidR="0055047B">
        <w:t xml:space="preserve"> Объект представляет собой нежилое трехэтажное здание 1967 года постройки. </w:t>
      </w:r>
    </w:p>
    <w:p w:rsidR="00F17F03" w:rsidRDefault="00CE7C6C" w:rsidP="00F17F03">
      <w:r>
        <w:t>Общая площадь здания составляет</w:t>
      </w:r>
      <w:r w:rsidR="0036641A">
        <w:t>5</w:t>
      </w:r>
      <w:r w:rsidR="0088529D">
        <w:t> </w:t>
      </w:r>
      <w:r w:rsidR="0036641A">
        <w:t>263,1</w:t>
      </w:r>
      <w:r w:rsidRPr="0055047B">
        <w:t xml:space="preserve"> кв.</w:t>
      </w:r>
      <w:r>
        <w:t xml:space="preserve"> м</w:t>
      </w:r>
      <w:r>
        <w:rPr>
          <w:szCs w:val="28"/>
        </w:rPr>
        <w:t xml:space="preserve">. </w:t>
      </w:r>
      <w:r w:rsidRPr="00CE7C6C">
        <w:t>Основная функциональная площадь трех этажей здания составляет 2 270,9 кв. м, площадь подвала составляет 1 763,</w:t>
      </w:r>
      <w:r>
        <w:t>5, тамбуры – 72,7 кв. м. Общая площадь помещений составляет 4</w:t>
      </w:r>
      <w:r w:rsidR="006706AA">
        <w:t> </w:t>
      </w:r>
      <w:r>
        <w:t>107,1</w:t>
      </w:r>
      <w:r w:rsidR="00AE3F03">
        <w:t xml:space="preserve"> кв. м</w:t>
      </w:r>
      <w:r>
        <w:t xml:space="preserve"> за исключением входных площадок и входов в подвал.</w:t>
      </w:r>
    </w:p>
    <w:p w:rsidR="00CE7C6C" w:rsidRDefault="005F143A" w:rsidP="00CE7C6C">
      <w:r>
        <w:t>Здание можн</w:t>
      </w:r>
      <w:r w:rsidR="006706AA">
        <w:t>о разделить на три части: правый</w:t>
      </w:r>
      <w:r>
        <w:t xml:space="preserve"> и левы</w:t>
      </w:r>
      <w:r w:rsidR="006706AA">
        <w:t>й</w:t>
      </w:r>
      <w:r>
        <w:t xml:space="preserve"> блоки с переходами и основно</w:t>
      </w:r>
      <w:r w:rsidR="00C76E6F">
        <w:t>й блок</w:t>
      </w:r>
      <w:r>
        <w:t xml:space="preserve"> (рис. 1.1.1)</w:t>
      </w:r>
      <w:r w:rsidR="00C76E6F">
        <w:t>.</w:t>
      </w:r>
    </w:p>
    <w:p w:rsidR="006706AA" w:rsidRDefault="00C76E6F" w:rsidP="006706AA">
      <w:pPr>
        <w:pStyle w:val="a8"/>
      </w:pPr>
      <w:r>
        <w:object w:dxaOrig="9772" w:dyaOrig="8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7.5pt;height:255pt" o:ole="">
            <v:imagedata r:id="rId9" o:title=""/>
          </v:shape>
          <o:OLEObject Type="Embed" ProgID="Visio.Drawing.11" ShapeID="_x0000_i1029" DrawAspect="Content" ObjectID="_1567852143" r:id="rId10"/>
        </w:object>
      </w:r>
    </w:p>
    <w:p w:rsidR="008C0AC5" w:rsidRDefault="008C0AC5" w:rsidP="006706AA">
      <w:pPr>
        <w:pStyle w:val="a8"/>
      </w:pPr>
    </w:p>
    <w:p w:rsidR="005F143A" w:rsidRPr="00B266CB" w:rsidRDefault="005F143A" w:rsidP="006706AA">
      <w:pPr>
        <w:pStyle w:val="a8"/>
      </w:pPr>
      <w:r>
        <w:t>Рис.1.1.1. Примерная схема внешней конфигурации здания</w:t>
      </w:r>
    </w:p>
    <w:p w:rsidR="006706AA" w:rsidRDefault="006706AA" w:rsidP="006706AA"/>
    <w:p w:rsidR="00F17F03" w:rsidRDefault="0088529D" w:rsidP="00DA03D8">
      <w:r>
        <w:t>Все блоки</w:t>
      </w:r>
      <w:r w:rsidR="006706AA">
        <w:t xml:space="preserve"> имеют отельные входы. В случае постепенной реконструкции и р</w:t>
      </w:r>
      <w:r w:rsidR="00DA03D8">
        <w:t xml:space="preserve">емонта, отдельные части здания </w:t>
      </w:r>
      <w:r w:rsidR="006706AA">
        <w:t xml:space="preserve">можно изолировать и использовать сразу после проведения ремонтных работ. </w:t>
      </w:r>
    </w:p>
    <w:p w:rsidR="00CE42B6" w:rsidRDefault="00CE42B6" w:rsidP="00CE42B6">
      <w:r>
        <w:t xml:space="preserve">Внутри здания расположены в основном небольшие помещения от 20 до 50 кв. м., имеется несколько более крупных помещений более 100 кв. м, также внутри здания расположен зрительный зал на 800 мест, спортивный зал с раздевалками и душевыми. </w:t>
      </w:r>
    </w:p>
    <w:p w:rsidR="0088529D" w:rsidRDefault="00C76E6F" w:rsidP="00DA03D8">
      <w:r>
        <w:t xml:space="preserve">Возраст здания – 50 лет. Полный капитальный ремонт не проводился. В результате технического обследования здания, проводившегося в 2014 году, большинство конструктивных элементов оценивается как ограниченно работоспособные. Общее состояние здания оценивается как ограниченно работоспособное с аварийными участками. По состоянию на 2006 год физический износ оценивался в 46%. </w:t>
      </w:r>
      <w:r w:rsidR="00C4000F">
        <w:t xml:space="preserve">Учитывая проведенную оценку состояния здания и тот факт, что капитальный ремонт не производился, уровень физического износа на данный момент </w:t>
      </w:r>
      <w:r w:rsidR="009C3606">
        <w:t>превышает</w:t>
      </w:r>
      <w:r w:rsidR="00961FA3">
        <w:t xml:space="preserve"> 60%. </w:t>
      </w:r>
    </w:p>
    <w:p w:rsidR="0088529D" w:rsidRDefault="0088529D" w:rsidP="0088529D">
      <w:pPr>
        <w:pStyle w:val="2"/>
      </w:pPr>
      <w:r>
        <w:t>1.2.</w:t>
      </w:r>
      <w:r w:rsidR="00961FA3">
        <w:t xml:space="preserve"> </w:t>
      </w:r>
      <w:r>
        <w:t xml:space="preserve">Эксплуатация здания </w:t>
      </w:r>
    </w:p>
    <w:p w:rsidR="005B379E" w:rsidRDefault="00CE42B6" w:rsidP="00DA03D8">
      <w:r>
        <w:t>Среди причин</w:t>
      </w:r>
      <w:r w:rsidR="003D5070">
        <w:t>,</w:t>
      </w:r>
      <w:r>
        <w:t xml:space="preserve"> вызывающих повреждение конструктивных элементов здания следует выделить следующие: </w:t>
      </w:r>
    </w:p>
    <w:p w:rsidR="00CE42B6" w:rsidRDefault="00CE42B6" w:rsidP="00CE42B6">
      <w:pPr>
        <w:pStyle w:val="a"/>
      </w:pPr>
      <w:r>
        <w:t>нарушение правил эксплуатации здания;</w:t>
      </w:r>
    </w:p>
    <w:p w:rsidR="00CE42B6" w:rsidRPr="0088529D" w:rsidRDefault="00CE42B6" w:rsidP="00CE42B6">
      <w:pPr>
        <w:pStyle w:val="a"/>
        <w:rPr>
          <w:spacing w:val="-6"/>
        </w:rPr>
      </w:pPr>
      <w:r w:rsidRPr="0088529D">
        <w:rPr>
          <w:spacing w:val="-6"/>
        </w:rPr>
        <w:t>отсутствие своевременных ремонтно-восстановительных мероприятий.</w:t>
      </w:r>
    </w:p>
    <w:p w:rsidR="00C4000F" w:rsidRDefault="00CE42B6" w:rsidP="00DA03D8">
      <w:r>
        <w:t>В 2016 году был проведён частичный ремонт фасада здания, общая сумма рем</w:t>
      </w:r>
      <w:r w:rsidR="006326C8">
        <w:t xml:space="preserve">онтных работ составила 6 541 180 </w:t>
      </w:r>
      <w:r>
        <w:t>рублей. В текущем 2017 году денег на капитальный ремонт не предусмотрено.</w:t>
      </w:r>
    </w:p>
    <w:p w:rsidR="00CE42B6" w:rsidRDefault="00CE42B6" w:rsidP="0036641A">
      <w:r>
        <w:t>Н</w:t>
      </w:r>
      <w:r w:rsidR="0036641A">
        <w:t>а данный момент здание передано в безвозмездное пользование</w:t>
      </w:r>
      <w:r w:rsidRPr="0036641A">
        <w:t>МКУ «Молодёжный центр».</w:t>
      </w:r>
      <w:r w:rsidR="0036641A">
        <w:t xml:space="preserve"> Использован</w:t>
      </w:r>
      <w:r w:rsidR="003D5070">
        <w:t>ие площадей здания представлено</w:t>
      </w:r>
      <w:r w:rsidR="003D5070">
        <w:br/>
      </w:r>
      <w:r w:rsidR="0036641A">
        <w:t>в таблице 1.1.1.</w:t>
      </w:r>
    </w:p>
    <w:p w:rsidR="0036641A" w:rsidRDefault="006326C8" w:rsidP="0036641A">
      <w:pPr>
        <w:pStyle w:val="ad"/>
      </w:pPr>
      <w:r>
        <w:t>Таблица 1.2</w:t>
      </w:r>
      <w:r w:rsidR="0036641A">
        <w:t>.1</w:t>
      </w:r>
    </w:p>
    <w:p w:rsidR="0036641A" w:rsidRDefault="0036641A" w:rsidP="0036641A">
      <w:pPr>
        <w:pStyle w:val="ae"/>
      </w:pPr>
      <w:r>
        <w:t>Использование площадей здания</w:t>
      </w:r>
    </w:p>
    <w:tbl>
      <w:tblPr>
        <w:tblW w:w="5000" w:type="pct"/>
        <w:tblLook w:val="04A0" w:firstRow="1" w:lastRow="0" w:firstColumn="1" w:lastColumn="0" w:noHBand="0" w:noVBand="1"/>
      </w:tblPr>
      <w:tblGrid>
        <w:gridCol w:w="3849"/>
        <w:gridCol w:w="2029"/>
        <w:gridCol w:w="1769"/>
        <w:gridCol w:w="1924"/>
      </w:tblGrid>
      <w:tr w:rsidR="0036641A" w:rsidRPr="0036641A" w:rsidTr="0036641A">
        <w:trPr>
          <w:trHeight w:val="597"/>
        </w:trPr>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41A" w:rsidRPr="0088529D" w:rsidRDefault="0036641A" w:rsidP="0036641A">
            <w:pPr>
              <w:spacing w:line="240" w:lineRule="auto"/>
              <w:ind w:firstLine="0"/>
              <w:jc w:val="center"/>
              <w:rPr>
                <w:rFonts w:eastAsia="Times New Roman" w:cs="Times New Roman"/>
                <w:color w:val="000000"/>
                <w:sz w:val="24"/>
                <w:szCs w:val="24"/>
                <w:lang w:eastAsia="ru-RU"/>
              </w:rPr>
            </w:pPr>
            <w:r w:rsidRPr="0088529D">
              <w:rPr>
                <w:rFonts w:eastAsia="Times New Roman" w:cs="Times New Roman"/>
                <w:color w:val="000000"/>
                <w:sz w:val="24"/>
                <w:szCs w:val="24"/>
                <w:lang w:eastAsia="ru-RU"/>
              </w:rPr>
              <w:t>Направление использования</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41A" w:rsidRPr="0088529D" w:rsidRDefault="0036641A" w:rsidP="0036641A">
            <w:pPr>
              <w:spacing w:line="240" w:lineRule="auto"/>
              <w:ind w:firstLine="0"/>
              <w:jc w:val="center"/>
              <w:rPr>
                <w:rFonts w:eastAsia="Times New Roman" w:cs="Times New Roman"/>
                <w:color w:val="000000"/>
                <w:sz w:val="24"/>
                <w:szCs w:val="24"/>
                <w:lang w:eastAsia="ru-RU"/>
              </w:rPr>
            </w:pPr>
            <w:r w:rsidRPr="0088529D">
              <w:rPr>
                <w:rFonts w:eastAsia="Times New Roman" w:cs="Times New Roman"/>
                <w:color w:val="000000"/>
                <w:sz w:val="24"/>
                <w:szCs w:val="24"/>
                <w:lang w:eastAsia="ru-RU"/>
              </w:rPr>
              <w:t>Используемая площадь</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41A" w:rsidRPr="0088529D" w:rsidRDefault="0036641A" w:rsidP="0036641A">
            <w:pPr>
              <w:spacing w:line="240" w:lineRule="auto"/>
              <w:ind w:firstLine="0"/>
              <w:jc w:val="center"/>
              <w:rPr>
                <w:rFonts w:eastAsia="Times New Roman" w:cs="Times New Roman"/>
                <w:color w:val="000000"/>
                <w:sz w:val="24"/>
                <w:szCs w:val="24"/>
                <w:lang w:eastAsia="ru-RU"/>
              </w:rPr>
            </w:pPr>
            <w:r w:rsidRPr="0036641A">
              <w:rPr>
                <w:rFonts w:eastAsia="Times New Roman" w:cs="Times New Roman"/>
                <w:color w:val="000000"/>
                <w:sz w:val="24"/>
                <w:szCs w:val="24"/>
                <w:lang w:eastAsia="ru-RU"/>
              </w:rPr>
              <w:t>Ед. изм.</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41A" w:rsidRPr="0036641A" w:rsidRDefault="0036641A" w:rsidP="0036641A">
            <w:pPr>
              <w:spacing w:line="240" w:lineRule="auto"/>
              <w:ind w:firstLine="0"/>
              <w:jc w:val="center"/>
              <w:rPr>
                <w:rFonts w:eastAsia="Times New Roman" w:cs="Times New Roman"/>
                <w:color w:val="000000"/>
                <w:sz w:val="24"/>
                <w:szCs w:val="24"/>
                <w:lang w:eastAsia="ru-RU"/>
              </w:rPr>
            </w:pPr>
            <w:r w:rsidRPr="0036641A">
              <w:rPr>
                <w:rFonts w:eastAsia="Times New Roman" w:cs="Times New Roman"/>
                <w:color w:val="000000"/>
                <w:sz w:val="24"/>
                <w:szCs w:val="24"/>
                <w:lang w:eastAsia="ru-RU"/>
              </w:rPr>
              <w:t>Доля в общей площади</w:t>
            </w:r>
          </w:p>
        </w:tc>
      </w:tr>
      <w:tr w:rsidR="0036641A" w:rsidRPr="0036641A" w:rsidTr="0036641A">
        <w:trPr>
          <w:trHeight w:val="315"/>
        </w:trPr>
        <w:tc>
          <w:tcPr>
            <w:tcW w:w="2011" w:type="pct"/>
            <w:tcBorders>
              <w:top w:val="nil"/>
              <w:left w:val="single" w:sz="4" w:space="0" w:color="auto"/>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left"/>
              <w:rPr>
                <w:rFonts w:eastAsia="Times New Roman" w:cs="Times New Roman"/>
                <w:color w:val="000000"/>
                <w:sz w:val="24"/>
                <w:szCs w:val="24"/>
                <w:lang w:eastAsia="ru-RU"/>
              </w:rPr>
            </w:pPr>
            <w:r w:rsidRPr="0036641A">
              <w:rPr>
                <w:rFonts w:eastAsia="Times New Roman" w:cs="Times New Roman"/>
                <w:color w:val="000000"/>
                <w:sz w:val="24"/>
                <w:szCs w:val="24"/>
                <w:lang w:eastAsia="ru-RU"/>
              </w:rPr>
              <w:t>Для нужд учреждения</w:t>
            </w:r>
          </w:p>
        </w:tc>
        <w:tc>
          <w:tcPr>
            <w:tcW w:w="1060"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4 912,2</w:t>
            </w:r>
          </w:p>
        </w:tc>
        <w:tc>
          <w:tcPr>
            <w:tcW w:w="924" w:type="pct"/>
            <w:tcBorders>
              <w:top w:val="nil"/>
              <w:left w:val="nil"/>
              <w:bottom w:val="single" w:sz="4" w:space="0" w:color="auto"/>
              <w:right w:val="single" w:sz="4" w:space="0" w:color="auto"/>
            </w:tcBorders>
            <w:shd w:val="clear" w:color="auto" w:fill="auto"/>
            <w:noWrap/>
            <w:vAlign w:val="center"/>
            <w:hideMark/>
          </w:tcPr>
          <w:p w:rsidR="0036641A" w:rsidRPr="0036641A" w:rsidRDefault="0036641A" w:rsidP="0036641A">
            <w:pPr>
              <w:spacing w:line="240" w:lineRule="auto"/>
              <w:ind w:firstLine="0"/>
              <w:jc w:val="center"/>
              <w:rPr>
                <w:rFonts w:eastAsia="Times New Roman" w:cs="Times New Roman"/>
                <w:color w:val="000000"/>
                <w:sz w:val="24"/>
                <w:szCs w:val="24"/>
                <w:lang w:eastAsia="ru-RU"/>
              </w:rPr>
            </w:pPr>
            <w:r w:rsidRPr="0036641A">
              <w:rPr>
                <w:rFonts w:eastAsia="Times New Roman" w:cs="Times New Roman"/>
                <w:color w:val="000000"/>
                <w:sz w:val="24"/>
                <w:szCs w:val="24"/>
                <w:lang w:eastAsia="ru-RU"/>
              </w:rPr>
              <w:t>кв.м</w:t>
            </w:r>
          </w:p>
        </w:tc>
        <w:tc>
          <w:tcPr>
            <w:tcW w:w="1005"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93,33%</w:t>
            </w:r>
          </w:p>
        </w:tc>
      </w:tr>
      <w:tr w:rsidR="0036641A" w:rsidRPr="0036641A" w:rsidTr="0036641A">
        <w:trPr>
          <w:trHeight w:val="315"/>
        </w:trPr>
        <w:tc>
          <w:tcPr>
            <w:tcW w:w="2011" w:type="pct"/>
            <w:tcBorders>
              <w:top w:val="nil"/>
              <w:left w:val="single" w:sz="4" w:space="0" w:color="auto"/>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left"/>
              <w:rPr>
                <w:rFonts w:eastAsia="Times New Roman" w:cs="Times New Roman"/>
                <w:color w:val="000000"/>
                <w:sz w:val="24"/>
                <w:szCs w:val="24"/>
                <w:lang w:eastAsia="ru-RU"/>
              </w:rPr>
            </w:pPr>
            <w:r w:rsidRPr="0036641A">
              <w:rPr>
                <w:rFonts w:eastAsia="Times New Roman" w:cs="Times New Roman"/>
                <w:color w:val="000000"/>
                <w:sz w:val="24"/>
                <w:szCs w:val="24"/>
                <w:lang w:eastAsia="ru-RU"/>
              </w:rPr>
              <w:t>Аренда:</w:t>
            </w:r>
          </w:p>
        </w:tc>
        <w:tc>
          <w:tcPr>
            <w:tcW w:w="1060"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350,9</w:t>
            </w:r>
          </w:p>
        </w:tc>
        <w:tc>
          <w:tcPr>
            <w:tcW w:w="924" w:type="pct"/>
            <w:tcBorders>
              <w:top w:val="nil"/>
              <w:left w:val="nil"/>
              <w:bottom w:val="single" w:sz="4" w:space="0" w:color="auto"/>
              <w:right w:val="single" w:sz="4" w:space="0" w:color="auto"/>
            </w:tcBorders>
            <w:shd w:val="clear" w:color="auto" w:fill="auto"/>
            <w:noWrap/>
            <w:vAlign w:val="center"/>
            <w:hideMark/>
          </w:tcPr>
          <w:p w:rsidR="0036641A" w:rsidRPr="0036641A" w:rsidRDefault="0036641A" w:rsidP="0036641A">
            <w:pPr>
              <w:spacing w:line="240" w:lineRule="auto"/>
              <w:ind w:firstLine="0"/>
              <w:jc w:val="center"/>
              <w:rPr>
                <w:rFonts w:eastAsia="Times New Roman" w:cs="Times New Roman"/>
                <w:color w:val="000000"/>
                <w:sz w:val="24"/>
                <w:szCs w:val="24"/>
                <w:lang w:eastAsia="ru-RU"/>
              </w:rPr>
            </w:pPr>
            <w:r w:rsidRPr="0036641A">
              <w:rPr>
                <w:rFonts w:eastAsia="Times New Roman" w:cs="Times New Roman"/>
                <w:color w:val="000000"/>
                <w:sz w:val="24"/>
                <w:szCs w:val="24"/>
                <w:lang w:eastAsia="ru-RU"/>
              </w:rPr>
              <w:t>кв.м</w:t>
            </w:r>
          </w:p>
        </w:tc>
        <w:tc>
          <w:tcPr>
            <w:tcW w:w="1005"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6,67%</w:t>
            </w:r>
          </w:p>
        </w:tc>
      </w:tr>
      <w:tr w:rsidR="0036641A" w:rsidRPr="0036641A" w:rsidTr="0036641A">
        <w:trPr>
          <w:trHeight w:val="315"/>
        </w:trPr>
        <w:tc>
          <w:tcPr>
            <w:tcW w:w="2011" w:type="pct"/>
            <w:tcBorders>
              <w:top w:val="nil"/>
              <w:left w:val="single" w:sz="4" w:space="0" w:color="auto"/>
              <w:bottom w:val="single" w:sz="4" w:space="0" w:color="auto"/>
              <w:right w:val="single" w:sz="4" w:space="0" w:color="auto"/>
            </w:tcBorders>
            <w:shd w:val="clear" w:color="auto" w:fill="auto"/>
            <w:noWrap/>
            <w:vAlign w:val="bottom"/>
            <w:hideMark/>
          </w:tcPr>
          <w:p w:rsidR="0036641A" w:rsidRPr="0036641A" w:rsidRDefault="0036641A" w:rsidP="00AD1D2D">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Общество Ветеранов</w:t>
            </w:r>
          </w:p>
        </w:tc>
        <w:tc>
          <w:tcPr>
            <w:tcW w:w="1060"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68,9</w:t>
            </w:r>
          </w:p>
        </w:tc>
        <w:tc>
          <w:tcPr>
            <w:tcW w:w="924" w:type="pct"/>
            <w:tcBorders>
              <w:top w:val="nil"/>
              <w:left w:val="nil"/>
              <w:bottom w:val="single" w:sz="4" w:space="0" w:color="auto"/>
              <w:right w:val="single" w:sz="4" w:space="0" w:color="auto"/>
            </w:tcBorders>
            <w:shd w:val="clear" w:color="auto" w:fill="auto"/>
            <w:noWrap/>
            <w:vAlign w:val="center"/>
            <w:hideMark/>
          </w:tcPr>
          <w:p w:rsidR="0036641A" w:rsidRPr="0036641A" w:rsidRDefault="0036641A" w:rsidP="0036641A">
            <w:pPr>
              <w:spacing w:line="240" w:lineRule="auto"/>
              <w:ind w:firstLine="0"/>
              <w:jc w:val="center"/>
              <w:rPr>
                <w:rFonts w:eastAsia="Times New Roman" w:cs="Times New Roman"/>
                <w:color w:val="000000"/>
                <w:sz w:val="24"/>
                <w:szCs w:val="24"/>
                <w:lang w:eastAsia="ru-RU"/>
              </w:rPr>
            </w:pPr>
            <w:r w:rsidRPr="0036641A">
              <w:rPr>
                <w:rFonts w:eastAsia="Times New Roman" w:cs="Times New Roman"/>
                <w:color w:val="000000"/>
                <w:sz w:val="24"/>
                <w:szCs w:val="24"/>
                <w:lang w:eastAsia="ru-RU"/>
              </w:rPr>
              <w:t>кв.м</w:t>
            </w:r>
          </w:p>
        </w:tc>
        <w:tc>
          <w:tcPr>
            <w:tcW w:w="1005"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1,31%</w:t>
            </w:r>
          </w:p>
        </w:tc>
      </w:tr>
      <w:tr w:rsidR="0036641A" w:rsidRPr="0036641A" w:rsidTr="0036641A">
        <w:trPr>
          <w:trHeight w:val="315"/>
        </w:trPr>
        <w:tc>
          <w:tcPr>
            <w:tcW w:w="2011" w:type="pct"/>
            <w:tcBorders>
              <w:top w:val="nil"/>
              <w:left w:val="single" w:sz="4" w:space="0" w:color="auto"/>
              <w:bottom w:val="single" w:sz="4" w:space="0" w:color="auto"/>
              <w:right w:val="single" w:sz="4" w:space="0" w:color="auto"/>
            </w:tcBorders>
            <w:shd w:val="clear" w:color="auto" w:fill="auto"/>
            <w:noWrap/>
            <w:vAlign w:val="bottom"/>
            <w:hideMark/>
          </w:tcPr>
          <w:p w:rsidR="0036641A" w:rsidRPr="0036641A" w:rsidRDefault="0036641A" w:rsidP="00AD1D2D">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Стомотология</w:t>
            </w:r>
            <w:r w:rsidR="00AD1D2D" w:rsidRPr="0088529D">
              <w:rPr>
                <w:rFonts w:eastAsia="Times New Roman" w:cs="Times New Roman"/>
                <w:color w:val="000000"/>
                <w:sz w:val="24"/>
                <w:szCs w:val="24"/>
                <w:lang w:eastAsia="ru-RU"/>
              </w:rPr>
              <w:t xml:space="preserve"> 1</w:t>
            </w:r>
          </w:p>
        </w:tc>
        <w:tc>
          <w:tcPr>
            <w:tcW w:w="1060"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28,7</w:t>
            </w:r>
          </w:p>
        </w:tc>
        <w:tc>
          <w:tcPr>
            <w:tcW w:w="924" w:type="pct"/>
            <w:tcBorders>
              <w:top w:val="nil"/>
              <w:left w:val="nil"/>
              <w:bottom w:val="single" w:sz="4" w:space="0" w:color="auto"/>
              <w:right w:val="single" w:sz="4" w:space="0" w:color="auto"/>
            </w:tcBorders>
            <w:shd w:val="clear" w:color="auto" w:fill="auto"/>
            <w:noWrap/>
            <w:vAlign w:val="center"/>
            <w:hideMark/>
          </w:tcPr>
          <w:p w:rsidR="0036641A" w:rsidRPr="0036641A" w:rsidRDefault="0036641A" w:rsidP="0036641A">
            <w:pPr>
              <w:spacing w:line="240" w:lineRule="auto"/>
              <w:ind w:firstLine="0"/>
              <w:jc w:val="center"/>
              <w:rPr>
                <w:rFonts w:eastAsia="Times New Roman" w:cs="Times New Roman"/>
                <w:color w:val="000000"/>
                <w:sz w:val="24"/>
                <w:szCs w:val="24"/>
                <w:lang w:eastAsia="ru-RU"/>
              </w:rPr>
            </w:pPr>
            <w:r w:rsidRPr="0036641A">
              <w:rPr>
                <w:rFonts w:eastAsia="Times New Roman" w:cs="Times New Roman"/>
                <w:color w:val="000000"/>
                <w:sz w:val="24"/>
                <w:szCs w:val="24"/>
                <w:lang w:eastAsia="ru-RU"/>
              </w:rPr>
              <w:t>кв.м</w:t>
            </w:r>
          </w:p>
        </w:tc>
        <w:tc>
          <w:tcPr>
            <w:tcW w:w="1005"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0,55%</w:t>
            </w:r>
          </w:p>
        </w:tc>
      </w:tr>
      <w:tr w:rsidR="0036641A" w:rsidRPr="0036641A" w:rsidTr="0036641A">
        <w:trPr>
          <w:trHeight w:val="315"/>
        </w:trPr>
        <w:tc>
          <w:tcPr>
            <w:tcW w:w="2011" w:type="pct"/>
            <w:tcBorders>
              <w:top w:val="nil"/>
              <w:left w:val="single" w:sz="4" w:space="0" w:color="auto"/>
              <w:bottom w:val="single" w:sz="4" w:space="0" w:color="auto"/>
              <w:right w:val="single" w:sz="4" w:space="0" w:color="auto"/>
            </w:tcBorders>
            <w:shd w:val="clear" w:color="auto" w:fill="auto"/>
            <w:noWrap/>
            <w:vAlign w:val="bottom"/>
            <w:hideMark/>
          </w:tcPr>
          <w:p w:rsidR="0036641A" w:rsidRPr="0036641A" w:rsidRDefault="0036641A" w:rsidP="00AD1D2D">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Стомотология</w:t>
            </w:r>
            <w:r w:rsidR="00AD1D2D" w:rsidRPr="0088529D">
              <w:rPr>
                <w:rFonts w:eastAsia="Times New Roman" w:cs="Times New Roman"/>
                <w:color w:val="000000"/>
                <w:sz w:val="24"/>
                <w:szCs w:val="24"/>
                <w:lang w:eastAsia="ru-RU"/>
              </w:rPr>
              <w:t xml:space="preserve"> 2</w:t>
            </w:r>
          </w:p>
        </w:tc>
        <w:tc>
          <w:tcPr>
            <w:tcW w:w="1060"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68,3</w:t>
            </w:r>
          </w:p>
        </w:tc>
        <w:tc>
          <w:tcPr>
            <w:tcW w:w="924" w:type="pct"/>
            <w:tcBorders>
              <w:top w:val="nil"/>
              <w:left w:val="nil"/>
              <w:bottom w:val="single" w:sz="4" w:space="0" w:color="auto"/>
              <w:right w:val="single" w:sz="4" w:space="0" w:color="auto"/>
            </w:tcBorders>
            <w:shd w:val="clear" w:color="auto" w:fill="auto"/>
            <w:noWrap/>
            <w:vAlign w:val="center"/>
            <w:hideMark/>
          </w:tcPr>
          <w:p w:rsidR="0036641A" w:rsidRPr="0036641A" w:rsidRDefault="0036641A" w:rsidP="0036641A">
            <w:pPr>
              <w:spacing w:line="240" w:lineRule="auto"/>
              <w:ind w:firstLine="0"/>
              <w:jc w:val="center"/>
              <w:rPr>
                <w:rFonts w:eastAsia="Times New Roman" w:cs="Times New Roman"/>
                <w:color w:val="000000"/>
                <w:sz w:val="24"/>
                <w:szCs w:val="24"/>
                <w:lang w:eastAsia="ru-RU"/>
              </w:rPr>
            </w:pPr>
            <w:r w:rsidRPr="0036641A">
              <w:rPr>
                <w:rFonts w:eastAsia="Times New Roman" w:cs="Times New Roman"/>
                <w:color w:val="000000"/>
                <w:sz w:val="24"/>
                <w:szCs w:val="24"/>
                <w:lang w:eastAsia="ru-RU"/>
              </w:rPr>
              <w:t>кв.м</w:t>
            </w:r>
          </w:p>
        </w:tc>
        <w:tc>
          <w:tcPr>
            <w:tcW w:w="1005"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1,30%</w:t>
            </w:r>
          </w:p>
        </w:tc>
      </w:tr>
      <w:tr w:rsidR="0036641A" w:rsidRPr="0036641A" w:rsidTr="0036641A">
        <w:trPr>
          <w:trHeight w:val="315"/>
        </w:trPr>
        <w:tc>
          <w:tcPr>
            <w:tcW w:w="2011" w:type="pct"/>
            <w:tcBorders>
              <w:top w:val="nil"/>
              <w:left w:val="single" w:sz="4" w:space="0" w:color="auto"/>
              <w:bottom w:val="single" w:sz="4" w:space="0" w:color="auto"/>
              <w:right w:val="single" w:sz="4" w:space="0" w:color="auto"/>
            </w:tcBorders>
            <w:shd w:val="clear" w:color="auto" w:fill="auto"/>
            <w:noWrap/>
            <w:vAlign w:val="bottom"/>
            <w:hideMark/>
          </w:tcPr>
          <w:p w:rsidR="0036641A" w:rsidRPr="0036641A" w:rsidRDefault="0036641A" w:rsidP="00AD1D2D">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Швейное производство</w:t>
            </w:r>
          </w:p>
        </w:tc>
        <w:tc>
          <w:tcPr>
            <w:tcW w:w="1060"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185,0</w:t>
            </w:r>
          </w:p>
        </w:tc>
        <w:tc>
          <w:tcPr>
            <w:tcW w:w="924" w:type="pct"/>
            <w:tcBorders>
              <w:top w:val="nil"/>
              <w:left w:val="nil"/>
              <w:bottom w:val="single" w:sz="4" w:space="0" w:color="auto"/>
              <w:right w:val="single" w:sz="4" w:space="0" w:color="auto"/>
            </w:tcBorders>
            <w:shd w:val="clear" w:color="auto" w:fill="auto"/>
            <w:noWrap/>
            <w:vAlign w:val="center"/>
            <w:hideMark/>
          </w:tcPr>
          <w:p w:rsidR="0036641A" w:rsidRPr="0036641A" w:rsidRDefault="0036641A" w:rsidP="0036641A">
            <w:pPr>
              <w:spacing w:line="240" w:lineRule="auto"/>
              <w:ind w:firstLine="0"/>
              <w:jc w:val="center"/>
              <w:rPr>
                <w:rFonts w:eastAsia="Times New Roman" w:cs="Times New Roman"/>
                <w:color w:val="000000"/>
                <w:sz w:val="24"/>
                <w:szCs w:val="24"/>
                <w:lang w:eastAsia="ru-RU"/>
              </w:rPr>
            </w:pPr>
            <w:r w:rsidRPr="0036641A">
              <w:rPr>
                <w:rFonts w:eastAsia="Times New Roman" w:cs="Times New Roman"/>
                <w:color w:val="000000"/>
                <w:sz w:val="24"/>
                <w:szCs w:val="24"/>
                <w:lang w:eastAsia="ru-RU"/>
              </w:rPr>
              <w:t>кв.м</w:t>
            </w:r>
          </w:p>
        </w:tc>
        <w:tc>
          <w:tcPr>
            <w:tcW w:w="1005"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3,52%</w:t>
            </w:r>
          </w:p>
        </w:tc>
      </w:tr>
      <w:tr w:rsidR="0036641A" w:rsidRPr="0036641A" w:rsidTr="0036641A">
        <w:trPr>
          <w:trHeight w:val="315"/>
        </w:trPr>
        <w:tc>
          <w:tcPr>
            <w:tcW w:w="2011" w:type="pct"/>
            <w:tcBorders>
              <w:top w:val="nil"/>
              <w:left w:val="single" w:sz="4" w:space="0" w:color="auto"/>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left"/>
              <w:rPr>
                <w:rFonts w:eastAsia="Times New Roman" w:cs="Times New Roman"/>
                <w:color w:val="000000"/>
                <w:sz w:val="24"/>
                <w:szCs w:val="24"/>
                <w:lang w:eastAsia="ru-RU"/>
              </w:rPr>
            </w:pPr>
            <w:r w:rsidRPr="0036641A">
              <w:rPr>
                <w:rFonts w:eastAsia="Times New Roman" w:cs="Times New Roman"/>
                <w:color w:val="000000"/>
                <w:sz w:val="24"/>
                <w:szCs w:val="24"/>
                <w:lang w:eastAsia="ru-RU"/>
              </w:rPr>
              <w:t>Итого</w:t>
            </w:r>
          </w:p>
        </w:tc>
        <w:tc>
          <w:tcPr>
            <w:tcW w:w="1060"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5 263,1</w:t>
            </w:r>
          </w:p>
        </w:tc>
        <w:tc>
          <w:tcPr>
            <w:tcW w:w="924"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center"/>
              <w:rPr>
                <w:rFonts w:eastAsia="Times New Roman" w:cs="Times New Roman"/>
                <w:color w:val="000000"/>
                <w:sz w:val="24"/>
                <w:szCs w:val="24"/>
                <w:lang w:eastAsia="ru-RU"/>
              </w:rPr>
            </w:pPr>
            <w:r w:rsidRPr="0036641A">
              <w:rPr>
                <w:rFonts w:eastAsia="Times New Roman" w:cs="Times New Roman"/>
                <w:color w:val="000000"/>
                <w:sz w:val="24"/>
                <w:szCs w:val="24"/>
                <w:lang w:eastAsia="ru-RU"/>
              </w:rPr>
              <w:t>кв.м</w:t>
            </w:r>
          </w:p>
        </w:tc>
        <w:tc>
          <w:tcPr>
            <w:tcW w:w="1005" w:type="pct"/>
            <w:tcBorders>
              <w:top w:val="nil"/>
              <w:left w:val="nil"/>
              <w:bottom w:val="single" w:sz="4" w:space="0" w:color="auto"/>
              <w:right w:val="single" w:sz="4" w:space="0" w:color="auto"/>
            </w:tcBorders>
            <w:shd w:val="clear" w:color="auto" w:fill="auto"/>
            <w:noWrap/>
            <w:vAlign w:val="bottom"/>
            <w:hideMark/>
          </w:tcPr>
          <w:p w:rsidR="0036641A" w:rsidRPr="0036641A" w:rsidRDefault="0036641A" w:rsidP="0036641A">
            <w:pPr>
              <w:spacing w:line="240" w:lineRule="auto"/>
              <w:ind w:firstLine="0"/>
              <w:jc w:val="right"/>
              <w:rPr>
                <w:rFonts w:eastAsia="Times New Roman" w:cs="Times New Roman"/>
                <w:color w:val="000000"/>
                <w:sz w:val="24"/>
                <w:szCs w:val="24"/>
                <w:lang w:eastAsia="ru-RU"/>
              </w:rPr>
            </w:pPr>
            <w:r w:rsidRPr="0036641A">
              <w:rPr>
                <w:rFonts w:eastAsia="Times New Roman" w:cs="Times New Roman"/>
                <w:color w:val="000000"/>
                <w:sz w:val="24"/>
                <w:szCs w:val="24"/>
                <w:lang w:eastAsia="ru-RU"/>
              </w:rPr>
              <w:t>100,00%</w:t>
            </w:r>
          </w:p>
        </w:tc>
      </w:tr>
    </w:tbl>
    <w:p w:rsidR="00CE42B6" w:rsidRDefault="00CE42B6" w:rsidP="00AD1D2D">
      <w:pPr>
        <w:ind w:firstLine="0"/>
      </w:pPr>
    </w:p>
    <w:p w:rsidR="00AD1D2D" w:rsidRDefault="00AD1D2D" w:rsidP="0088529D">
      <w:r>
        <w:t xml:space="preserve">Свыше 93% площадей фактически никак не используется, соответственно не подвергается текущему ремонту. Ограниченная функциональность здания подразумевает постоянный контроль состояния конструкций и условий экспликации, что делает невозможным использование помещений по назначению без предварительного проведения капитального </w:t>
      </w:r>
      <w:r w:rsidRPr="0088529D">
        <w:t>ремонта. МКУ не выделяет собственных средств на улучшения технического состояния здания. В этих условиях степень износа всех конструктивных элементов здания Дома культуры постоянно увеличивается. Соответственно потребность в инвестициях на осуществление ремонтных работ возрастает с каждым годом все больше.</w:t>
      </w:r>
    </w:p>
    <w:p w:rsidR="0088529D" w:rsidRDefault="0088529D" w:rsidP="0088529D">
      <w:r>
        <w:t xml:space="preserve">Расходы </w:t>
      </w:r>
      <w:r w:rsidR="006326C8">
        <w:t xml:space="preserve">на </w:t>
      </w:r>
      <w:r>
        <w:t>оплату коммунальных ус</w:t>
      </w:r>
      <w:r w:rsidR="006326C8">
        <w:t>луг представлены в таблице 1.2.2</w:t>
      </w:r>
      <w:r>
        <w:t>.</w:t>
      </w:r>
    </w:p>
    <w:p w:rsidR="0088529D" w:rsidRDefault="006326C8" w:rsidP="0088529D">
      <w:pPr>
        <w:pStyle w:val="ad"/>
      </w:pPr>
      <w:r>
        <w:t>Таблица 1.2.2</w:t>
      </w:r>
    </w:p>
    <w:p w:rsidR="0088529D" w:rsidRDefault="0088529D" w:rsidP="0088529D">
      <w:pPr>
        <w:pStyle w:val="ae"/>
      </w:pPr>
      <w:r>
        <w:t>Стоимость коммунальных услуг</w:t>
      </w:r>
      <w:r w:rsidR="00057976">
        <w:t>, руб.</w:t>
      </w:r>
    </w:p>
    <w:tbl>
      <w:tblPr>
        <w:tblW w:w="6178" w:type="dxa"/>
        <w:jc w:val="center"/>
        <w:tblLook w:val="04A0" w:firstRow="1" w:lastRow="0" w:firstColumn="1" w:lastColumn="0" w:noHBand="0" w:noVBand="1"/>
      </w:tblPr>
      <w:tblGrid>
        <w:gridCol w:w="4291"/>
        <w:gridCol w:w="1887"/>
      </w:tblGrid>
      <w:tr w:rsidR="0088529D" w:rsidRPr="0088529D" w:rsidTr="00057976">
        <w:trPr>
          <w:trHeight w:val="322"/>
          <w:jc w:val="center"/>
        </w:trPr>
        <w:tc>
          <w:tcPr>
            <w:tcW w:w="4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29D" w:rsidRPr="0088529D" w:rsidRDefault="0088529D" w:rsidP="00057976">
            <w:pPr>
              <w:spacing w:line="240" w:lineRule="auto"/>
              <w:ind w:firstLine="0"/>
              <w:jc w:val="center"/>
              <w:rPr>
                <w:rFonts w:eastAsia="Times New Roman" w:cs="Times New Roman"/>
                <w:color w:val="000000"/>
                <w:sz w:val="24"/>
                <w:szCs w:val="24"/>
                <w:lang w:eastAsia="ru-RU"/>
              </w:rPr>
            </w:pPr>
            <w:r w:rsidRPr="0088529D">
              <w:rPr>
                <w:rFonts w:eastAsia="Times New Roman" w:cs="Times New Roman"/>
                <w:color w:val="000000"/>
                <w:sz w:val="24"/>
                <w:szCs w:val="24"/>
                <w:lang w:eastAsia="ru-RU"/>
              </w:rPr>
              <w:t>Расходы на содержание здания</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88529D" w:rsidRPr="0088529D" w:rsidRDefault="0088529D" w:rsidP="00057976">
            <w:pPr>
              <w:spacing w:line="240" w:lineRule="auto"/>
              <w:ind w:firstLine="0"/>
              <w:jc w:val="center"/>
              <w:rPr>
                <w:rFonts w:eastAsia="Times New Roman" w:cs="Times New Roman"/>
                <w:color w:val="000000"/>
                <w:sz w:val="24"/>
                <w:szCs w:val="24"/>
                <w:lang w:eastAsia="ru-RU"/>
              </w:rPr>
            </w:pPr>
            <w:r w:rsidRPr="0088529D">
              <w:rPr>
                <w:rFonts w:eastAsia="Times New Roman" w:cs="Times New Roman"/>
                <w:color w:val="000000"/>
                <w:sz w:val="24"/>
                <w:szCs w:val="24"/>
                <w:lang w:eastAsia="ru-RU"/>
              </w:rPr>
              <w:t>2016</w:t>
            </w:r>
            <w:r w:rsidR="00057976">
              <w:rPr>
                <w:rFonts w:eastAsia="Times New Roman" w:cs="Times New Roman"/>
                <w:color w:val="000000"/>
                <w:sz w:val="24"/>
                <w:szCs w:val="24"/>
                <w:lang w:eastAsia="ru-RU"/>
              </w:rPr>
              <w:t xml:space="preserve"> год</w:t>
            </w:r>
          </w:p>
        </w:tc>
      </w:tr>
      <w:tr w:rsidR="0088529D" w:rsidRPr="0088529D" w:rsidTr="00057976">
        <w:trPr>
          <w:trHeight w:val="322"/>
          <w:jc w:val="center"/>
        </w:trPr>
        <w:tc>
          <w:tcPr>
            <w:tcW w:w="4291" w:type="dxa"/>
            <w:tcBorders>
              <w:top w:val="nil"/>
              <w:left w:val="single" w:sz="4" w:space="0" w:color="auto"/>
              <w:bottom w:val="single" w:sz="4" w:space="0" w:color="auto"/>
              <w:right w:val="single" w:sz="4" w:space="0" w:color="auto"/>
            </w:tcBorders>
            <w:shd w:val="clear" w:color="auto" w:fill="auto"/>
            <w:noWrap/>
            <w:vAlign w:val="bottom"/>
            <w:hideMark/>
          </w:tcPr>
          <w:p w:rsidR="0088529D" w:rsidRPr="0088529D" w:rsidRDefault="0088529D" w:rsidP="0088529D">
            <w:pPr>
              <w:spacing w:line="240" w:lineRule="auto"/>
              <w:ind w:firstLine="0"/>
              <w:jc w:val="left"/>
              <w:rPr>
                <w:rFonts w:eastAsia="Times New Roman" w:cs="Times New Roman"/>
                <w:color w:val="000000"/>
                <w:sz w:val="24"/>
                <w:szCs w:val="24"/>
                <w:lang w:eastAsia="ru-RU"/>
              </w:rPr>
            </w:pPr>
            <w:r w:rsidRPr="0088529D">
              <w:rPr>
                <w:rFonts w:eastAsia="Times New Roman" w:cs="Times New Roman"/>
                <w:color w:val="000000"/>
                <w:sz w:val="24"/>
                <w:szCs w:val="24"/>
                <w:lang w:eastAsia="ru-RU"/>
              </w:rPr>
              <w:t>Коммунальные платежи, в т.ч.:</w:t>
            </w:r>
          </w:p>
        </w:tc>
        <w:tc>
          <w:tcPr>
            <w:tcW w:w="1887" w:type="dxa"/>
            <w:tcBorders>
              <w:top w:val="nil"/>
              <w:left w:val="nil"/>
              <w:bottom w:val="single" w:sz="4" w:space="0" w:color="auto"/>
              <w:right w:val="single" w:sz="4" w:space="0" w:color="auto"/>
            </w:tcBorders>
            <w:shd w:val="clear" w:color="auto" w:fill="auto"/>
            <w:noWrap/>
            <w:vAlign w:val="bottom"/>
            <w:hideMark/>
          </w:tcPr>
          <w:p w:rsidR="0088529D" w:rsidRPr="0088529D" w:rsidRDefault="0088529D" w:rsidP="0088529D">
            <w:pPr>
              <w:spacing w:line="240" w:lineRule="auto"/>
              <w:ind w:firstLine="0"/>
              <w:jc w:val="right"/>
              <w:rPr>
                <w:rFonts w:eastAsia="Times New Roman" w:cs="Times New Roman"/>
                <w:color w:val="000000"/>
                <w:sz w:val="24"/>
                <w:szCs w:val="24"/>
                <w:lang w:eastAsia="ru-RU"/>
              </w:rPr>
            </w:pPr>
            <w:r w:rsidRPr="0088529D">
              <w:rPr>
                <w:rFonts w:eastAsia="Times New Roman" w:cs="Times New Roman"/>
                <w:color w:val="000000"/>
                <w:sz w:val="24"/>
                <w:szCs w:val="24"/>
                <w:lang w:eastAsia="ru-RU"/>
              </w:rPr>
              <w:t>1 604 019,9</w:t>
            </w:r>
          </w:p>
        </w:tc>
      </w:tr>
      <w:tr w:rsidR="0088529D" w:rsidRPr="0088529D" w:rsidTr="00057976">
        <w:trPr>
          <w:trHeight w:val="322"/>
          <w:jc w:val="center"/>
        </w:trPr>
        <w:tc>
          <w:tcPr>
            <w:tcW w:w="4291" w:type="dxa"/>
            <w:tcBorders>
              <w:top w:val="nil"/>
              <w:left w:val="single" w:sz="4" w:space="0" w:color="auto"/>
              <w:bottom w:val="single" w:sz="4" w:space="0" w:color="auto"/>
              <w:right w:val="single" w:sz="4" w:space="0" w:color="auto"/>
            </w:tcBorders>
            <w:shd w:val="clear" w:color="auto" w:fill="auto"/>
            <w:noWrap/>
            <w:vAlign w:val="bottom"/>
            <w:hideMark/>
          </w:tcPr>
          <w:p w:rsidR="0088529D" w:rsidRPr="0088529D" w:rsidRDefault="0088529D" w:rsidP="0088529D">
            <w:pPr>
              <w:spacing w:line="240" w:lineRule="auto"/>
              <w:ind w:firstLine="0"/>
              <w:jc w:val="right"/>
              <w:rPr>
                <w:rFonts w:eastAsia="Times New Roman" w:cs="Times New Roman"/>
                <w:color w:val="000000"/>
                <w:sz w:val="24"/>
                <w:szCs w:val="24"/>
                <w:lang w:eastAsia="ru-RU"/>
              </w:rPr>
            </w:pPr>
            <w:r w:rsidRPr="0088529D">
              <w:rPr>
                <w:rFonts w:eastAsia="Times New Roman" w:cs="Times New Roman"/>
                <w:color w:val="000000"/>
                <w:sz w:val="24"/>
                <w:szCs w:val="24"/>
                <w:lang w:eastAsia="ru-RU"/>
              </w:rPr>
              <w:t>отопление</w:t>
            </w:r>
            <w:r w:rsidR="006326C8">
              <w:rPr>
                <w:rFonts w:eastAsia="Times New Roman" w:cs="Times New Roman"/>
                <w:color w:val="000000"/>
                <w:sz w:val="24"/>
                <w:szCs w:val="24"/>
                <w:lang w:eastAsia="ru-RU"/>
              </w:rPr>
              <w:t>,</w:t>
            </w:r>
          </w:p>
        </w:tc>
        <w:tc>
          <w:tcPr>
            <w:tcW w:w="1887" w:type="dxa"/>
            <w:tcBorders>
              <w:top w:val="nil"/>
              <w:left w:val="nil"/>
              <w:bottom w:val="single" w:sz="4" w:space="0" w:color="auto"/>
              <w:right w:val="single" w:sz="4" w:space="0" w:color="auto"/>
            </w:tcBorders>
            <w:shd w:val="clear" w:color="auto" w:fill="auto"/>
            <w:noWrap/>
            <w:vAlign w:val="bottom"/>
            <w:hideMark/>
          </w:tcPr>
          <w:p w:rsidR="0088529D" w:rsidRPr="0088529D" w:rsidRDefault="0088529D" w:rsidP="0088529D">
            <w:pPr>
              <w:spacing w:line="240" w:lineRule="auto"/>
              <w:ind w:firstLine="0"/>
              <w:jc w:val="right"/>
              <w:rPr>
                <w:rFonts w:eastAsia="Times New Roman" w:cs="Times New Roman"/>
                <w:color w:val="000000"/>
                <w:sz w:val="24"/>
                <w:szCs w:val="24"/>
                <w:lang w:eastAsia="ru-RU"/>
              </w:rPr>
            </w:pPr>
            <w:r w:rsidRPr="0088529D">
              <w:rPr>
                <w:rFonts w:eastAsia="Times New Roman" w:cs="Times New Roman"/>
                <w:color w:val="000000"/>
                <w:sz w:val="24"/>
                <w:szCs w:val="24"/>
                <w:lang w:eastAsia="ru-RU"/>
              </w:rPr>
              <w:t>921 900,6</w:t>
            </w:r>
          </w:p>
        </w:tc>
      </w:tr>
      <w:tr w:rsidR="0088529D" w:rsidRPr="0088529D" w:rsidTr="00057976">
        <w:trPr>
          <w:trHeight w:val="322"/>
          <w:jc w:val="center"/>
        </w:trPr>
        <w:tc>
          <w:tcPr>
            <w:tcW w:w="4291" w:type="dxa"/>
            <w:tcBorders>
              <w:top w:val="nil"/>
              <w:left w:val="single" w:sz="4" w:space="0" w:color="auto"/>
              <w:bottom w:val="single" w:sz="4" w:space="0" w:color="auto"/>
              <w:right w:val="single" w:sz="4" w:space="0" w:color="auto"/>
            </w:tcBorders>
            <w:shd w:val="clear" w:color="auto" w:fill="auto"/>
            <w:noWrap/>
            <w:vAlign w:val="bottom"/>
            <w:hideMark/>
          </w:tcPr>
          <w:p w:rsidR="0088529D" w:rsidRPr="0088529D" w:rsidRDefault="0088529D" w:rsidP="0088529D">
            <w:pPr>
              <w:spacing w:line="240" w:lineRule="auto"/>
              <w:ind w:firstLine="0"/>
              <w:jc w:val="right"/>
              <w:rPr>
                <w:rFonts w:eastAsia="Times New Roman" w:cs="Times New Roman"/>
                <w:color w:val="000000"/>
                <w:sz w:val="24"/>
                <w:szCs w:val="24"/>
                <w:lang w:eastAsia="ru-RU"/>
              </w:rPr>
            </w:pPr>
            <w:r w:rsidRPr="0088529D">
              <w:rPr>
                <w:rFonts w:eastAsia="Times New Roman" w:cs="Times New Roman"/>
                <w:color w:val="000000"/>
                <w:sz w:val="24"/>
                <w:szCs w:val="24"/>
                <w:lang w:eastAsia="ru-RU"/>
              </w:rPr>
              <w:t>холодное водоснабжение</w:t>
            </w:r>
          </w:p>
        </w:tc>
        <w:tc>
          <w:tcPr>
            <w:tcW w:w="1887" w:type="dxa"/>
            <w:tcBorders>
              <w:top w:val="nil"/>
              <w:left w:val="nil"/>
              <w:bottom w:val="single" w:sz="4" w:space="0" w:color="auto"/>
              <w:right w:val="single" w:sz="4" w:space="0" w:color="auto"/>
            </w:tcBorders>
            <w:shd w:val="clear" w:color="auto" w:fill="auto"/>
            <w:noWrap/>
            <w:vAlign w:val="bottom"/>
            <w:hideMark/>
          </w:tcPr>
          <w:p w:rsidR="0088529D" w:rsidRPr="0088529D" w:rsidRDefault="0088529D" w:rsidP="0088529D">
            <w:pPr>
              <w:spacing w:line="240" w:lineRule="auto"/>
              <w:ind w:firstLine="0"/>
              <w:jc w:val="right"/>
              <w:rPr>
                <w:rFonts w:eastAsia="Times New Roman" w:cs="Times New Roman"/>
                <w:color w:val="000000"/>
                <w:sz w:val="24"/>
                <w:szCs w:val="24"/>
                <w:lang w:eastAsia="ru-RU"/>
              </w:rPr>
            </w:pPr>
            <w:r w:rsidRPr="0088529D">
              <w:rPr>
                <w:rFonts w:eastAsia="Times New Roman" w:cs="Times New Roman"/>
                <w:color w:val="000000"/>
                <w:sz w:val="24"/>
                <w:szCs w:val="24"/>
                <w:lang w:eastAsia="ru-RU"/>
              </w:rPr>
              <w:t>6 868,6</w:t>
            </w:r>
          </w:p>
        </w:tc>
      </w:tr>
      <w:tr w:rsidR="0088529D" w:rsidRPr="0088529D" w:rsidTr="00057976">
        <w:trPr>
          <w:trHeight w:val="322"/>
          <w:jc w:val="center"/>
        </w:trPr>
        <w:tc>
          <w:tcPr>
            <w:tcW w:w="4291" w:type="dxa"/>
            <w:tcBorders>
              <w:top w:val="nil"/>
              <w:left w:val="single" w:sz="4" w:space="0" w:color="auto"/>
              <w:bottom w:val="single" w:sz="4" w:space="0" w:color="auto"/>
              <w:right w:val="single" w:sz="4" w:space="0" w:color="auto"/>
            </w:tcBorders>
            <w:shd w:val="clear" w:color="auto" w:fill="auto"/>
            <w:noWrap/>
            <w:vAlign w:val="bottom"/>
            <w:hideMark/>
          </w:tcPr>
          <w:p w:rsidR="0088529D" w:rsidRPr="0088529D" w:rsidRDefault="0088529D" w:rsidP="0088529D">
            <w:pPr>
              <w:spacing w:line="240" w:lineRule="auto"/>
              <w:ind w:firstLine="0"/>
              <w:jc w:val="right"/>
              <w:rPr>
                <w:rFonts w:eastAsia="Times New Roman" w:cs="Times New Roman"/>
                <w:color w:val="000000"/>
                <w:sz w:val="24"/>
                <w:szCs w:val="24"/>
                <w:lang w:eastAsia="ru-RU"/>
              </w:rPr>
            </w:pPr>
            <w:r w:rsidRPr="0088529D">
              <w:rPr>
                <w:rFonts w:eastAsia="Times New Roman" w:cs="Times New Roman"/>
                <w:color w:val="000000"/>
                <w:sz w:val="24"/>
                <w:szCs w:val="24"/>
                <w:lang w:eastAsia="ru-RU"/>
              </w:rPr>
              <w:t>электроэнергия</w:t>
            </w:r>
          </w:p>
        </w:tc>
        <w:tc>
          <w:tcPr>
            <w:tcW w:w="1887" w:type="dxa"/>
            <w:tcBorders>
              <w:top w:val="nil"/>
              <w:left w:val="nil"/>
              <w:bottom w:val="single" w:sz="4" w:space="0" w:color="auto"/>
              <w:right w:val="single" w:sz="4" w:space="0" w:color="auto"/>
            </w:tcBorders>
            <w:shd w:val="clear" w:color="auto" w:fill="auto"/>
            <w:noWrap/>
            <w:vAlign w:val="bottom"/>
            <w:hideMark/>
          </w:tcPr>
          <w:p w:rsidR="0088529D" w:rsidRPr="0088529D" w:rsidRDefault="0088529D" w:rsidP="0088529D">
            <w:pPr>
              <w:spacing w:line="240" w:lineRule="auto"/>
              <w:ind w:firstLine="0"/>
              <w:jc w:val="right"/>
              <w:rPr>
                <w:rFonts w:eastAsia="Times New Roman" w:cs="Times New Roman"/>
                <w:color w:val="000000"/>
                <w:sz w:val="24"/>
                <w:szCs w:val="24"/>
                <w:lang w:eastAsia="ru-RU"/>
              </w:rPr>
            </w:pPr>
            <w:r w:rsidRPr="0088529D">
              <w:rPr>
                <w:rFonts w:eastAsia="Times New Roman" w:cs="Times New Roman"/>
                <w:color w:val="000000"/>
                <w:sz w:val="24"/>
                <w:szCs w:val="24"/>
                <w:lang w:eastAsia="ru-RU"/>
              </w:rPr>
              <w:t>176 250,7</w:t>
            </w:r>
          </w:p>
        </w:tc>
      </w:tr>
      <w:tr w:rsidR="0088529D" w:rsidRPr="0088529D" w:rsidTr="00057976">
        <w:trPr>
          <w:trHeight w:val="322"/>
          <w:jc w:val="center"/>
        </w:trPr>
        <w:tc>
          <w:tcPr>
            <w:tcW w:w="4291" w:type="dxa"/>
            <w:tcBorders>
              <w:top w:val="nil"/>
              <w:left w:val="single" w:sz="4" w:space="0" w:color="auto"/>
              <w:bottom w:val="single" w:sz="4" w:space="0" w:color="auto"/>
              <w:right w:val="single" w:sz="4" w:space="0" w:color="auto"/>
            </w:tcBorders>
            <w:shd w:val="clear" w:color="auto" w:fill="auto"/>
            <w:noWrap/>
            <w:vAlign w:val="bottom"/>
            <w:hideMark/>
          </w:tcPr>
          <w:p w:rsidR="0088529D" w:rsidRPr="0088529D" w:rsidRDefault="0088529D" w:rsidP="0088529D">
            <w:pPr>
              <w:spacing w:line="240" w:lineRule="auto"/>
              <w:ind w:firstLine="0"/>
              <w:jc w:val="right"/>
              <w:rPr>
                <w:rFonts w:eastAsia="Times New Roman" w:cs="Times New Roman"/>
                <w:color w:val="000000"/>
                <w:sz w:val="24"/>
                <w:szCs w:val="24"/>
                <w:lang w:eastAsia="ru-RU"/>
              </w:rPr>
            </w:pPr>
            <w:r w:rsidRPr="0088529D">
              <w:rPr>
                <w:rFonts w:eastAsia="Times New Roman" w:cs="Times New Roman"/>
                <w:color w:val="000000"/>
                <w:sz w:val="24"/>
                <w:szCs w:val="24"/>
                <w:lang w:eastAsia="ru-RU"/>
              </w:rPr>
              <w:t>охрана здания</w:t>
            </w:r>
          </w:p>
        </w:tc>
        <w:tc>
          <w:tcPr>
            <w:tcW w:w="1887" w:type="dxa"/>
            <w:tcBorders>
              <w:top w:val="nil"/>
              <w:left w:val="nil"/>
              <w:bottom w:val="single" w:sz="4" w:space="0" w:color="auto"/>
              <w:right w:val="single" w:sz="4" w:space="0" w:color="auto"/>
            </w:tcBorders>
            <w:shd w:val="clear" w:color="auto" w:fill="auto"/>
            <w:noWrap/>
            <w:vAlign w:val="bottom"/>
            <w:hideMark/>
          </w:tcPr>
          <w:p w:rsidR="0088529D" w:rsidRPr="0088529D" w:rsidRDefault="0088529D" w:rsidP="0088529D">
            <w:pPr>
              <w:spacing w:line="240" w:lineRule="auto"/>
              <w:ind w:firstLine="0"/>
              <w:jc w:val="right"/>
              <w:rPr>
                <w:rFonts w:eastAsia="Times New Roman" w:cs="Times New Roman"/>
                <w:color w:val="000000"/>
                <w:sz w:val="24"/>
                <w:szCs w:val="24"/>
                <w:lang w:eastAsia="ru-RU"/>
              </w:rPr>
            </w:pPr>
            <w:r w:rsidRPr="0088529D">
              <w:rPr>
                <w:rFonts w:eastAsia="Times New Roman" w:cs="Times New Roman"/>
                <w:color w:val="000000"/>
                <w:sz w:val="24"/>
                <w:szCs w:val="24"/>
                <w:lang w:eastAsia="ru-RU"/>
              </w:rPr>
              <w:t>499 000,0</w:t>
            </w:r>
          </w:p>
        </w:tc>
      </w:tr>
    </w:tbl>
    <w:p w:rsidR="00D962C2" w:rsidRDefault="00D962C2" w:rsidP="00D962C2"/>
    <w:p w:rsidR="001D7CDC" w:rsidRDefault="00057976" w:rsidP="001D7CDC">
      <w:r>
        <w:t>Предусмотренная оплата коммунальных платежей на текущий 2017 г</w:t>
      </w:r>
      <w:r w:rsidR="00D962C2">
        <w:t xml:space="preserve">од составляет 1 684 220,9 руб. </w:t>
      </w:r>
      <w:r w:rsidR="001D7CDC">
        <w:t>Плановые затраты на коммунальные услуги представлены в таблице 1.2.2.</w:t>
      </w:r>
    </w:p>
    <w:p w:rsidR="001D7CDC" w:rsidRDefault="006326C8" w:rsidP="001D7CDC">
      <w:pPr>
        <w:pStyle w:val="ad"/>
      </w:pPr>
      <w:r>
        <w:t>Таблица 1.2.3</w:t>
      </w:r>
    </w:p>
    <w:p w:rsidR="001D7CDC" w:rsidRDefault="001D7CDC" w:rsidP="001D7CDC">
      <w:pPr>
        <w:pStyle w:val="ae"/>
      </w:pPr>
      <w:r>
        <w:t>Плановые затраты на содержание здания</w:t>
      </w:r>
      <w:r>
        <w:rPr>
          <w:rStyle w:val="af1"/>
          <w:rFonts w:eastAsia="Times New Roman" w:cs="Times New Roman"/>
          <w:color w:val="000000"/>
          <w:szCs w:val="24"/>
          <w:lang w:eastAsia="zh-CN"/>
        </w:rPr>
        <w:footnoteReference w:id="1"/>
      </w:r>
    </w:p>
    <w:tbl>
      <w:tblPr>
        <w:tblW w:w="6514" w:type="dxa"/>
        <w:jc w:val="center"/>
        <w:tblLook w:val="04A0" w:firstRow="1" w:lastRow="0" w:firstColumn="1" w:lastColumn="0" w:noHBand="0" w:noVBand="1"/>
      </w:tblPr>
      <w:tblGrid>
        <w:gridCol w:w="2960"/>
        <w:gridCol w:w="3554"/>
      </w:tblGrid>
      <w:tr w:rsidR="001D7CDC" w:rsidRPr="001D7CDC" w:rsidTr="001D7CDC">
        <w:trPr>
          <w:trHeight w:val="401"/>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CDC" w:rsidRPr="001D7CDC" w:rsidRDefault="001D7CDC" w:rsidP="001D7CDC">
            <w:pPr>
              <w:spacing w:line="240" w:lineRule="auto"/>
              <w:ind w:firstLine="0"/>
              <w:jc w:val="center"/>
              <w:rPr>
                <w:rFonts w:eastAsia="Times New Roman" w:cs="Times New Roman"/>
                <w:color w:val="000000"/>
                <w:sz w:val="24"/>
                <w:szCs w:val="24"/>
                <w:lang w:eastAsia="zh-CN"/>
              </w:rPr>
            </w:pPr>
            <w:r w:rsidRPr="001D7CDC">
              <w:rPr>
                <w:rFonts w:eastAsia="Times New Roman" w:cs="Times New Roman"/>
                <w:color w:val="000000"/>
                <w:sz w:val="24"/>
                <w:szCs w:val="24"/>
                <w:lang w:eastAsia="zh-CN"/>
              </w:rPr>
              <w:t>Год</w:t>
            </w:r>
          </w:p>
        </w:tc>
        <w:tc>
          <w:tcPr>
            <w:tcW w:w="3554" w:type="dxa"/>
            <w:tcBorders>
              <w:top w:val="single" w:sz="4" w:space="0" w:color="auto"/>
              <w:left w:val="nil"/>
              <w:bottom w:val="single" w:sz="4" w:space="0" w:color="auto"/>
              <w:right w:val="single" w:sz="4" w:space="0" w:color="auto"/>
            </w:tcBorders>
            <w:shd w:val="clear" w:color="auto" w:fill="auto"/>
            <w:vAlign w:val="center"/>
            <w:hideMark/>
          </w:tcPr>
          <w:p w:rsidR="001D7CDC" w:rsidRPr="001D7CDC" w:rsidRDefault="001D7CDC" w:rsidP="001D7CDC">
            <w:pPr>
              <w:spacing w:line="240" w:lineRule="auto"/>
              <w:ind w:firstLine="0"/>
              <w:jc w:val="center"/>
              <w:rPr>
                <w:rFonts w:eastAsia="Times New Roman" w:cs="Times New Roman"/>
                <w:color w:val="000000"/>
                <w:sz w:val="24"/>
                <w:szCs w:val="24"/>
                <w:lang w:eastAsia="zh-CN"/>
              </w:rPr>
            </w:pPr>
            <w:r w:rsidRPr="001D7CDC">
              <w:rPr>
                <w:rFonts w:eastAsia="Times New Roman" w:cs="Times New Roman"/>
                <w:color w:val="000000"/>
                <w:sz w:val="24"/>
                <w:szCs w:val="24"/>
                <w:lang w:eastAsia="zh-CN"/>
              </w:rPr>
              <w:t>Расходы на содержание здания</w:t>
            </w:r>
          </w:p>
        </w:tc>
      </w:tr>
      <w:tr w:rsidR="001D7CDC" w:rsidRPr="001D7CDC" w:rsidTr="001D7CDC">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1D7CDC" w:rsidRPr="001D7CDC" w:rsidRDefault="001D7CDC" w:rsidP="001D7CDC">
            <w:pPr>
              <w:spacing w:line="240" w:lineRule="auto"/>
              <w:ind w:firstLine="0"/>
              <w:jc w:val="center"/>
              <w:rPr>
                <w:rFonts w:eastAsia="Times New Roman" w:cs="Times New Roman"/>
                <w:color w:val="000000"/>
                <w:sz w:val="24"/>
                <w:szCs w:val="24"/>
                <w:lang w:eastAsia="zh-CN"/>
              </w:rPr>
            </w:pPr>
            <w:r w:rsidRPr="001D7CDC">
              <w:rPr>
                <w:rFonts w:eastAsia="Times New Roman" w:cs="Times New Roman"/>
                <w:color w:val="000000"/>
                <w:sz w:val="24"/>
                <w:szCs w:val="24"/>
                <w:lang w:eastAsia="zh-CN"/>
              </w:rPr>
              <w:t>2017</w:t>
            </w:r>
          </w:p>
        </w:tc>
        <w:tc>
          <w:tcPr>
            <w:tcW w:w="3554" w:type="dxa"/>
            <w:tcBorders>
              <w:top w:val="nil"/>
              <w:left w:val="nil"/>
              <w:bottom w:val="single" w:sz="4" w:space="0" w:color="auto"/>
              <w:right w:val="single" w:sz="4" w:space="0" w:color="auto"/>
            </w:tcBorders>
            <w:shd w:val="clear" w:color="auto" w:fill="auto"/>
            <w:noWrap/>
            <w:vAlign w:val="center"/>
            <w:hideMark/>
          </w:tcPr>
          <w:p w:rsidR="001D7CDC" w:rsidRPr="001D7CDC" w:rsidRDefault="001D7CDC" w:rsidP="001D7CDC">
            <w:pPr>
              <w:spacing w:line="240" w:lineRule="auto"/>
              <w:ind w:firstLine="0"/>
              <w:jc w:val="right"/>
              <w:rPr>
                <w:rFonts w:eastAsia="Times New Roman" w:cs="Times New Roman"/>
                <w:color w:val="000000"/>
                <w:sz w:val="24"/>
                <w:szCs w:val="24"/>
                <w:lang w:eastAsia="zh-CN"/>
              </w:rPr>
            </w:pPr>
            <w:r w:rsidRPr="001D7CDC">
              <w:rPr>
                <w:rFonts w:eastAsia="Times New Roman" w:cs="Times New Roman"/>
                <w:color w:val="000000"/>
                <w:sz w:val="24"/>
                <w:szCs w:val="24"/>
                <w:lang w:eastAsia="zh-CN"/>
              </w:rPr>
              <w:t>1 684 220,9</w:t>
            </w:r>
          </w:p>
        </w:tc>
      </w:tr>
      <w:tr w:rsidR="001D7CDC" w:rsidRPr="001D7CDC" w:rsidTr="001D7CDC">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D7CDC" w:rsidRPr="001D7CDC" w:rsidRDefault="001D7CDC" w:rsidP="001D7CDC">
            <w:pPr>
              <w:spacing w:line="240" w:lineRule="auto"/>
              <w:ind w:firstLine="0"/>
              <w:jc w:val="center"/>
              <w:rPr>
                <w:rFonts w:eastAsia="Times New Roman" w:cs="Times New Roman"/>
                <w:color w:val="000000"/>
                <w:sz w:val="24"/>
                <w:szCs w:val="24"/>
                <w:lang w:eastAsia="zh-CN"/>
              </w:rPr>
            </w:pPr>
            <w:r w:rsidRPr="001D7CDC">
              <w:rPr>
                <w:rFonts w:eastAsia="Times New Roman" w:cs="Times New Roman"/>
                <w:color w:val="000000"/>
                <w:sz w:val="24"/>
                <w:szCs w:val="24"/>
                <w:lang w:eastAsia="zh-CN"/>
              </w:rPr>
              <w:t>2018</w:t>
            </w:r>
          </w:p>
        </w:tc>
        <w:tc>
          <w:tcPr>
            <w:tcW w:w="3554" w:type="dxa"/>
            <w:tcBorders>
              <w:top w:val="nil"/>
              <w:left w:val="nil"/>
              <w:bottom w:val="single" w:sz="4" w:space="0" w:color="auto"/>
              <w:right w:val="single" w:sz="4" w:space="0" w:color="auto"/>
            </w:tcBorders>
            <w:shd w:val="clear" w:color="auto" w:fill="auto"/>
            <w:noWrap/>
            <w:vAlign w:val="center"/>
            <w:hideMark/>
          </w:tcPr>
          <w:p w:rsidR="001D7CDC" w:rsidRPr="001D7CDC" w:rsidRDefault="001D7CDC" w:rsidP="001D7CDC">
            <w:pPr>
              <w:spacing w:line="240" w:lineRule="auto"/>
              <w:ind w:firstLine="0"/>
              <w:jc w:val="right"/>
              <w:rPr>
                <w:rFonts w:eastAsia="Times New Roman" w:cs="Times New Roman"/>
                <w:color w:val="000000"/>
                <w:sz w:val="24"/>
                <w:szCs w:val="24"/>
                <w:lang w:eastAsia="zh-CN"/>
              </w:rPr>
            </w:pPr>
            <w:r w:rsidRPr="001D7CDC">
              <w:rPr>
                <w:rFonts w:eastAsia="Times New Roman" w:cs="Times New Roman"/>
                <w:color w:val="000000"/>
                <w:sz w:val="24"/>
                <w:szCs w:val="24"/>
                <w:lang w:eastAsia="zh-CN"/>
              </w:rPr>
              <w:t>1 768 431,9</w:t>
            </w:r>
          </w:p>
        </w:tc>
      </w:tr>
      <w:tr w:rsidR="001D7CDC" w:rsidRPr="001D7CDC" w:rsidTr="001D7CDC">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1D7CDC" w:rsidRPr="001D7CDC" w:rsidRDefault="001D7CDC" w:rsidP="001D7CDC">
            <w:pPr>
              <w:spacing w:line="240" w:lineRule="auto"/>
              <w:ind w:firstLine="0"/>
              <w:jc w:val="center"/>
              <w:rPr>
                <w:rFonts w:eastAsia="Times New Roman" w:cs="Times New Roman"/>
                <w:color w:val="000000"/>
                <w:sz w:val="24"/>
                <w:szCs w:val="24"/>
                <w:lang w:eastAsia="zh-CN"/>
              </w:rPr>
            </w:pPr>
            <w:r w:rsidRPr="001D7CDC">
              <w:rPr>
                <w:rFonts w:eastAsia="Times New Roman" w:cs="Times New Roman"/>
                <w:color w:val="000000"/>
                <w:sz w:val="24"/>
                <w:szCs w:val="24"/>
                <w:lang w:eastAsia="zh-CN"/>
              </w:rPr>
              <w:t>2019</w:t>
            </w:r>
          </w:p>
        </w:tc>
        <w:tc>
          <w:tcPr>
            <w:tcW w:w="3554" w:type="dxa"/>
            <w:tcBorders>
              <w:top w:val="nil"/>
              <w:left w:val="nil"/>
              <w:bottom w:val="single" w:sz="4" w:space="0" w:color="auto"/>
              <w:right w:val="single" w:sz="4" w:space="0" w:color="auto"/>
            </w:tcBorders>
            <w:shd w:val="clear" w:color="auto" w:fill="auto"/>
            <w:noWrap/>
            <w:vAlign w:val="center"/>
            <w:hideMark/>
          </w:tcPr>
          <w:p w:rsidR="001D7CDC" w:rsidRPr="001D7CDC" w:rsidRDefault="001D7CDC" w:rsidP="001D7CDC">
            <w:pPr>
              <w:spacing w:line="240" w:lineRule="auto"/>
              <w:ind w:firstLine="0"/>
              <w:jc w:val="right"/>
              <w:rPr>
                <w:rFonts w:eastAsia="Times New Roman" w:cs="Times New Roman"/>
                <w:color w:val="000000"/>
                <w:sz w:val="24"/>
                <w:szCs w:val="24"/>
                <w:lang w:eastAsia="zh-CN"/>
              </w:rPr>
            </w:pPr>
            <w:r w:rsidRPr="001D7CDC">
              <w:rPr>
                <w:rFonts w:eastAsia="Times New Roman" w:cs="Times New Roman"/>
                <w:color w:val="000000"/>
                <w:sz w:val="24"/>
                <w:szCs w:val="24"/>
                <w:lang w:eastAsia="zh-CN"/>
              </w:rPr>
              <w:t>1 856 853,5</w:t>
            </w:r>
          </w:p>
        </w:tc>
      </w:tr>
      <w:tr w:rsidR="001D7CDC" w:rsidRPr="001D7CDC" w:rsidTr="001D7CDC">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D7CDC" w:rsidRPr="001D7CDC" w:rsidRDefault="001D7CDC" w:rsidP="001D7CDC">
            <w:pPr>
              <w:spacing w:line="240" w:lineRule="auto"/>
              <w:ind w:firstLine="0"/>
              <w:jc w:val="center"/>
              <w:rPr>
                <w:rFonts w:eastAsia="Times New Roman" w:cs="Times New Roman"/>
                <w:color w:val="000000"/>
                <w:sz w:val="24"/>
                <w:szCs w:val="24"/>
                <w:lang w:eastAsia="zh-CN"/>
              </w:rPr>
            </w:pPr>
            <w:r w:rsidRPr="001D7CDC">
              <w:rPr>
                <w:rFonts w:eastAsia="Times New Roman" w:cs="Times New Roman"/>
                <w:color w:val="000000"/>
                <w:sz w:val="24"/>
                <w:szCs w:val="24"/>
                <w:lang w:eastAsia="zh-CN"/>
              </w:rPr>
              <w:t>2020</w:t>
            </w:r>
          </w:p>
        </w:tc>
        <w:tc>
          <w:tcPr>
            <w:tcW w:w="3554" w:type="dxa"/>
            <w:tcBorders>
              <w:top w:val="nil"/>
              <w:left w:val="nil"/>
              <w:bottom w:val="single" w:sz="4" w:space="0" w:color="auto"/>
              <w:right w:val="single" w:sz="4" w:space="0" w:color="auto"/>
            </w:tcBorders>
            <w:shd w:val="clear" w:color="auto" w:fill="auto"/>
            <w:noWrap/>
            <w:vAlign w:val="center"/>
            <w:hideMark/>
          </w:tcPr>
          <w:p w:rsidR="001D7CDC" w:rsidRPr="001D7CDC" w:rsidRDefault="001D7CDC" w:rsidP="001D7CDC">
            <w:pPr>
              <w:spacing w:line="240" w:lineRule="auto"/>
              <w:ind w:firstLine="0"/>
              <w:jc w:val="right"/>
              <w:rPr>
                <w:rFonts w:eastAsia="Times New Roman" w:cs="Times New Roman"/>
                <w:color w:val="000000"/>
                <w:sz w:val="24"/>
                <w:szCs w:val="24"/>
                <w:lang w:eastAsia="zh-CN"/>
              </w:rPr>
            </w:pPr>
            <w:r w:rsidRPr="001D7CDC">
              <w:rPr>
                <w:rFonts w:eastAsia="Times New Roman" w:cs="Times New Roman"/>
                <w:color w:val="000000"/>
                <w:sz w:val="24"/>
                <w:szCs w:val="24"/>
                <w:lang w:eastAsia="zh-CN"/>
              </w:rPr>
              <w:t>1 949 696,2</w:t>
            </w:r>
          </w:p>
        </w:tc>
      </w:tr>
      <w:tr w:rsidR="001D7CDC" w:rsidRPr="001D7CDC" w:rsidTr="001D7CDC">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1D7CDC" w:rsidRPr="001D7CDC" w:rsidRDefault="001D7CDC" w:rsidP="001D7CDC">
            <w:pPr>
              <w:spacing w:line="240" w:lineRule="auto"/>
              <w:ind w:firstLine="0"/>
              <w:jc w:val="center"/>
              <w:rPr>
                <w:rFonts w:eastAsia="Times New Roman" w:cs="Times New Roman"/>
                <w:color w:val="000000"/>
                <w:sz w:val="24"/>
                <w:szCs w:val="24"/>
                <w:lang w:eastAsia="zh-CN"/>
              </w:rPr>
            </w:pPr>
            <w:r w:rsidRPr="001D7CDC">
              <w:rPr>
                <w:rFonts w:eastAsia="Times New Roman" w:cs="Times New Roman"/>
                <w:color w:val="000000"/>
                <w:sz w:val="24"/>
                <w:szCs w:val="24"/>
                <w:lang w:eastAsia="zh-CN"/>
              </w:rPr>
              <w:t>2021</w:t>
            </w:r>
          </w:p>
        </w:tc>
        <w:tc>
          <w:tcPr>
            <w:tcW w:w="3554" w:type="dxa"/>
            <w:tcBorders>
              <w:top w:val="nil"/>
              <w:left w:val="nil"/>
              <w:bottom w:val="single" w:sz="4" w:space="0" w:color="auto"/>
              <w:right w:val="single" w:sz="4" w:space="0" w:color="auto"/>
            </w:tcBorders>
            <w:shd w:val="clear" w:color="auto" w:fill="auto"/>
            <w:noWrap/>
            <w:vAlign w:val="center"/>
            <w:hideMark/>
          </w:tcPr>
          <w:p w:rsidR="001D7CDC" w:rsidRPr="001D7CDC" w:rsidRDefault="001D7CDC" w:rsidP="001D7CDC">
            <w:pPr>
              <w:spacing w:line="240" w:lineRule="auto"/>
              <w:ind w:firstLine="0"/>
              <w:jc w:val="right"/>
              <w:rPr>
                <w:rFonts w:eastAsia="Times New Roman" w:cs="Times New Roman"/>
                <w:color w:val="000000"/>
                <w:sz w:val="24"/>
                <w:szCs w:val="24"/>
                <w:lang w:eastAsia="zh-CN"/>
              </w:rPr>
            </w:pPr>
            <w:r w:rsidRPr="001D7CDC">
              <w:rPr>
                <w:rFonts w:eastAsia="Times New Roman" w:cs="Times New Roman"/>
                <w:color w:val="000000"/>
                <w:sz w:val="24"/>
                <w:szCs w:val="24"/>
                <w:lang w:eastAsia="zh-CN"/>
              </w:rPr>
              <w:t>2 047 181,0</w:t>
            </w:r>
          </w:p>
        </w:tc>
      </w:tr>
      <w:tr w:rsidR="001D7CDC" w:rsidRPr="001D7CDC" w:rsidTr="001D7CDC">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1D7CDC" w:rsidRPr="001D7CDC" w:rsidRDefault="001D7CDC" w:rsidP="001D7CDC">
            <w:pPr>
              <w:spacing w:line="240" w:lineRule="auto"/>
              <w:ind w:firstLine="0"/>
              <w:jc w:val="center"/>
              <w:rPr>
                <w:rFonts w:eastAsia="Times New Roman" w:cs="Times New Roman"/>
                <w:color w:val="000000"/>
                <w:sz w:val="24"/>
                <w:szCs w:val="24"/>
                <w:lang w:eastAsia="zh-CN"/>
              </w:rPr>
            </w:pPr>
            <w:r w:rsidRPr="001D7CDC">
              <w:rPr>
                <w:rFonts w:eastAsia="Times New Roman" w:cs="Times New Roman"/>
                <w:color w:val="000000"/>
                <w:sz w:val="24"/>
                <w:szCs w:val="24"/>
                <w:lang w:eastAsia="zh-CN"/>
              </w:rPr>
              <w:t>2022</w:t>
            </w:r>
          </w:p>
        </w:tc>
        <w:tc>
          <w:tcPr>
            <w:tcW w:w="3554" w:type="dxa"/>
            <w:tcBorders>
              <w:top w:val="nil"/>
              <w:left w:val="nil"/>
              <w:bottom w:val="single" w:sz="4" w:space="0" w:color="auto"/>
              <w:right w:val="single" w:sz="4" w:space="0" w:color="auto"/>
            </w:tcBorders>
            <w:shd w:val="clear" w:color="auto" w:fill="auto"/>
            <w:noWrap/>
            <w:vAlign w:val="center"/>
            <w:hideMark/>
          </w:tcPr>
          <w:p w:rsidR="001D7CDC" w:rsidRPr="001D7CDC" w:rsidRDefault="001D7CDC" w:rsidP="001D7CDC">
            <w:pPr>
              <w:spacing w:line="240" w:lineRule="auto"/>
              <w:ind w:firstLine="0"/>
              <w:jc w:val="right"/>
              <w:rPr>
                <w:rFonts w:eastAsia="Times New Roman" w:cs="Times New Roman"/>
                <w:color w:val="000000"/>
                <w:sz w:val="24"/>
                <w:szCs w:val="24"/>
                <w:lang w:eastAsia="zh-CN"/>
              </w:rPr>
            </w:pPr>
            <w:r w:rsidRPr="001D7CDC">
              <w:rPr>
                <w:rFonts w:eastAsia="Times New Roman" w:cs="Times New Roman"/>
                <w:color w:val="000000"/>
                <w:sz w:val="24"/>
                <w:szCs w:val="24"/>
                <w:lang w:eastAsia="zh-CN"/>
              </w:rPr>
              <w:t>2 149 540,0</w:t>
            </w:r>
          </w:p>
        </w:tc>
      </w:tr>
      <w:tr w:rsidR="001D7CDC" w:rsidRPr="001D7CDC" w:rsidTr="009C3606">
        <w:trPr>
          <w:trHeight w:val="307"/>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1D7CDC" w:rsidRPr="001D7CDC" w:rsidRDefault="001D7CDC" w:rsidP="001D7CDC">
            <w:pPr>
              <w:spacing w:line="240" w:lineRule="auto"/>
              <w:ind w:firstLine="0"/>
              <w:jc w:val="center"/>
              <w:rPr>
                <w:rFonts w:eastAsia="Times New Roman" w:cs="Times New Roman"/>
                <w:color w:val="000000"/>
                <w:sz w:val="24"/>
                <w:szCs w:val="24"/>
                <w:lang w:eastAsia="zh-CN"/>
              </w:rPr>
            </w:pPr>
            <w:r w:rsidRPr="001D7CDC">
              <w:rPr>
                <w:rFonts w:eastAsia="Times New Roman" w:cs="Times New Roman"/>
                <w:color w:val="000000"/>
                <w:sz w:val="24"/>
                <w:szCs w:val="24"/>
                <w:lang w:eastAsia="zh-CN"/>
              </w:rPr>
              <w:t>Итого</w:t>
            </w:r>
          </w:p>
        </w:tc>
        <w:tc>
          <w:tcPr>
            <w:tcW w:w="3554" w:type="dxa"/>
            <w:tcBorders>
              <w:top w:val="nil"/>
              <w:left w:val="nil"/>
              <w:bottom w:val="single" w:sz="4" w:space="0" w:color="auto"/>
              <w:right w:val="single" w:sz="4" w:space="0" w:color="auto"/>
            </w:tcBorders>
            <w:shd w:val="clear" w:color="auto" w:fill="auto"/>
            <w:noWrap/>
            <w:vAlign w:val="center"/>
            <w:hideMark/>
          </w:tcPr>
          <w:p w:rsidR="001D7CDC" w:rsidRPr="001D7CDC" w:rsidRDefault="001D7CDC" w:rsidP="001D7CDC">
            <w:pPr>
              <w:spacing w:line="240" w:lineRule="auto"/>
              <w:ind w:firstLine="0"/>
              <w:jc w:val="right"/>
              <w:rPr>
                <w:rFonts w:eastAsia="Times New Roman" w:cs="Times New Roman"/>
                <w:color w:val="000000"/>
                <w:sz w:val="24"/>
                <w:szCs w:val="24"/>
                <w:lang w:eastAsia="zh-CN"/>
              </w:rPr>
            </w:pPr>
            <w:r w:rsidRPr="001D7CDC">
              <w:rPr>
                <w:rFonts w:eastAsia="Times New Roman" w:cs="Times New Roman"/>
                <w:color w:val="000000"/>
                <w:sz w:val="24"/>
                <w:szCs w:val="24"/>
                <w:lang w:eastAsia="zh-CN"/>
              </w:rPr>
              <w:t>9 771 702,5</w:t>
            </w:r>
          </w:p>
        </w:tc>
      </w:tr>
    </w:tbl>
    <w:p w:rsidR="00D962C2" w:rsidRDefault="00961FA3" w:rsidP="00961FA3">
      <w:r>
        <w:t>Таким образом, даже для частичной эксплуатации здания требуется поведение капитального ремонта отдельных помещений или всего объекта. Также необходимы дополнительные средства на содержания всего объекта в виде оплаты коммунальных услуг и текущего ремонта, так как при дальнейшем отсутствии текущих ремонтных и аварийно-ремонтных работ износ здания ДК будет расти, что приведет к его полной непригодности и потребности в сносе.</w:t>
      </w:r>
    </w:p>
    <w:p w:rsidR="00961FA3" w:rsidRDefault="00961FA3" w:rsidP="00961FA3">
      <w:pPr>
        <w:pStyle w:val="2"/>
      </w:pPr>
      <w:r>
        <w:t>1.3. Территориальное расположение объекта</w:t>
      </w:r>
    </w:p>
    <w:p w:rsidR="00B3718E" w:rsidRDefault="00376D60" w:rsidP="00961FA3">
      <w:r>
        <w:t xml:space="preserve">Адрес объекта – 3-я улица Сосневская, дом 139. Данная улица относится к </w:t>
      </w:r>
      <w:r w:rsidR="00887F9E">
        <w:t>Со</w:t>
      </w:r>
      <w:r w:rsidR="009D64B5">
        <w:t>ветскому району города Иваново. Здание Дома культуры меланжевого комбината расположено на</w:t>
      </w:r>
      <w:r w:rsidR="00B3718E">
        <w:t xml:space="preserve"> пересечен</w:t>
      </w:r>
      <w:r w:rsidR="000D79B8">
        <w:t>ии 3-ей и 4-ой Сосневской улицы (рисунок 1.3.1).</w:t>
      </w:r>
    </w:p>
    <w:p w:rsidR="00961FA3" w:rsidRDefault="009D64B5" w:rsidP="008C0AC5">
      <w:pPr>
        <w:ind w:firstLine="0"/>
        <w:jc w:val="center"/>
      </w:pPr>
      <w:r>
        <w:rPr>
          <w:noProof/>
          <w:lang w:eastAsia="zh-CN"/>
        </w:rPr>
        <w:drawing>
          <wp:inline distT="0" distB="0" distL="0" distR="0" wp14:anchorId="6CE9F077" wp14:editId="3CB35E83">
            <wp:extent cx="5810250" cy="33718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110" t="16952" r="4524" b="13517"/>
                    <a:stretch/>
                  </pic:blipFill>
                  <pic:spPr bwMode="auto">
                    <a:xfrm>
                      <a:off x="0" y="0"/>
                      <a:ext cx="5824792" cy="3380335"/>
                    </a:xfrm>
                    <a:prstGeom prst="rect">
                      <a:avLst/>
                    </a:prstGeom>
                    <a:ln>
                      <a:noFill/>
                    </a:ln>
                    <a:extLst>
                      <a:ext uri="{53640926-AAD7-44D8-BBD7-CCE9431645EC}">
                        <a14:shadowObscured xmlns:a14="http://schemas.microsoft.com/office/drawing/2010/main"/>
                      </a:ext>
                    </a:extLst>
                  </pic:spPr>
                </pic:pic>
              </a:graphicData>
            </a:graphic>
          </wp:inline>
        </w:drawing>
      </w:r>
    </w:p>
    <w:p w:rsidR="003D5070" w:rsidRPr="003D5070" w:rsidRDefault="003D5070" w:rsidP="003D5070">
      <w:pPr>
        <w:ind w:firstLine="0"/>
        <w:jc w:val="left"/>
        <w:rPr>
          <w:i/>
          <w:sz w:val="24"/>
        </w:rPr>
      </w:pPr>
      <w:r w:rsidRPr="003D5070">
        <w:rPr>
          <w:i/>
          <w:sz w:val="24"/>
        </w:rPr>
        <w:t>Источник: Яндекс карты</w:t>
      </w:r>
    </w:p>
    <w:p w:rsidR="000D79B8" w:rsidRDefault="000D79B8" w:rsidP="008C0AC5">
      <w:pPr>
        <w:ind w:firstLine="0"/>
        <w:jc w:val="center"/>
        <w:rPr>
          <w:b/>
          <w:sz w:val="22"/>
        </w:rPr>
      </w:pPr>
      <w:r w:rsidRPr="008C0AC5">
        <w:rPr>
          <w:b/>
          <w:sz w:val="22"/>
        </w:rPr>
        <w:t>Рис. 1.3.1. Расположение здания Дома культуры</w:t>
      </w:r>
      <w:r>
        <w:t xml:space="preserve"> </w:t>
      </w:r>
      <w:r w:rsidRPr="008C0AC5">
        <w:rPr>
          <w:b/>
          <w:sz w:val="22"/>
        </w:rPr>
        <w:t>меланжевого комбината</w:t>
      </w:r>
    </w:p>
    <w:p w:rsidR="008C0AC5" w:rsidRDefault="008C0AC5" w:rsidP="008C0AC5">
      <w:pPr>
        <w:ind w:firstLine="0"/>
        <w:jc w:val="center"/>
      </w:pPr>
    </w:p>
    <w:p w:rsidR="00D962C2" w:rsidRDefault="00B3718E" w:rsidP="00D962C2">
      <w:r>
        <w:t>В качестве подъездных путей выступают дороги с одноп</w:t>
      </w:r>
      <w:r w:rsidR="00AE3F03">
        <w:t>олосным и двух</w:t>
      </w:r>
      <w:r>
        <w:t xml:space="preserve">полосным движением. </w:t>
      </w:r>
      <w:r w:rsidR="000D79B8">
        <w:t xml:space="preserve">Расположение здания в плане доступности для частого транспорта достаточно удобное, однако дороги не рассчитаны на большой автомобиле-поток. </w:t>
      </w:r>
      <w:r w:rsidR="008C0AC5">
        <w:t>Крупные парков</w:t>
      </w:r>
      <w:r w:rsidR="000D79B8">
        <w:t>к</w:t>
      </w:r>
      <w:r w:rsidR="008C0AC5">
        <w:t>и рядом отсутствуют</w:t>
      </w:r>
      <w:r w:rsidR="000D79B8">
        <w:t>.</w:t>
      </w:r>
    </w:p>
    <w:p w:rsidR="008C0AC5" w:rsidRDefault="008C0AC5" w:rsidP="00D962C2">
      <w:r>
        <w:t xml:space="preserve">С точки зрения доступности для общественного транспорта здание </w:t>
      </w:r>
      <w:r w:rsidR="006326C8">
        <w:t xml:space="preserve">расположено </w:t>
      </w:r>
      <w:r>
        <w:t>неудобно. Две ближайшие остановки – 10-й Проезд (расположена в 5-7 минутах</w:t>
      </w:r>
      <w:r w:rsidR="00C5214E">
        <w:t xml:space="preserve"> пешком</w:t>
      </w:r>
      <w:r>
        <w:t xml:space="preserve">) и остановка на </w:t>
      </w:r>
      <w:r w:rsidR="00C5214E">
        <w:t>пресечении</w:t>
      </w:r>
      <w:r>
        <w:t xml:space="preserve"> 3-й Сосневской и </w:t>
      </w:r>
      <w:r w:rsidR="00C5214E">
        <w:t xml:space="preserve">Суворова (10 минут пешком). При этом весь путь от центра города займет более 25 минут. </w:t>
      </w:r>
    </w:p>
    <w:p w:rsidR="00C5214E" w:rsidRDefault="00C5214E" w:rsidP="00D962C2">
      <w:r>
        <w:t>В шаговой доступности от объекта находятся жилые дома, как многоэтажные</w:t>
      </w:r>
      <w:r w:rsidR="0098605C">
        <w:t>,</w:t>
      </w:r>
      <w:r>
        <w:t xml:space="preserve"> так и частный сектор.</w:t>
      </w:r>
      <w:r w:rsidR="003B56F2">
        <w:t xml:space="preserve"> Население Советского района составляет 59 989 человек, из всех районов города он имеет самую маленькую численность. </w:t>
      </w:r>
    </w:p>
    <w:p w:rsidR="00D962C2" w:rsidRDefault="00C5214E" w:rsidP="00ED3CD2">
      <w:r>
        <w:t>В данном районе расположены средние общеобразовательные школы №31, 41, 42, 49, 53 и т.д. Близко к объекту также расположено 5 детских садов.</w:t>
      </w:r>
      <w:r w:rsidR="0093025E">
        <w:t xml:space="preserve"> Детско-юношеские центры в районе отсутствуют, есть лишь творческий клуб для детей «Белая стрекоза», танцевальные студии и детские </w:t>
      </w:r>
      <w:r w:rsidR="006326C8">
        <w:t>художественные и спортивные школы</w:t>
      </w:r>
      <w:r w:rsidR="0093025E">
        <w:t xml:space="preserve"> также отсутствуют. </w:t>
      </w:r>
      <w:r w:rsidR="00ED3CD2">
        <w:t>Крупных коммерческих организаций, за исключением торговых сетей и сбербанка в районе нет.</w:t>
      </w:r>
    </w:p>
    <w:p w:rsidR="00D962C2" w:rsidRDefault="00AE3F03" w:rsidP="00AE3F03">
      <w:r>
        <w:t>Таким образом, расположение здания ДК меланжевого комбината можно оценить, как удобное только для жителей близлежащих жилых домов. Это связано с низкой транспортной доступностью, неразвитой инфраструктурой. Удобство состоит лишь в расположении на пересечении двух дорог. В целом само здание территориально удалено от центра города, район можно считать спальным, так как в нем практически отсутствуют какие-либо коммерческие организации, нет крупных торговых или офисных центров, промышленных производств.</w:t>
      </w:r>
    </w:p>
    <w:p w:rsidR="00AE3F03" w:rsidRDefault="00AE3F03" w:rsidP="006326C8">
      <w:pPr>
        <w:pStyle w:val="1"/>
      </w:pPr>
      <w:r>
        <w:t xml:space="preserve">2. </w:t>
      </w:r>
      <w:r w:rsidR="006326C8">
        <w:t xml:space="preserve">Инвестиционная привлекательность реконструкции объекта </w:t>
      </w:r>
    </w:p>
    <w:p w:rsidR="006326C8" w:rsidRDefault="006326C8" w:rsidP="006326C8">
      <w:pPr>
        <w:pStyle w:val="2"/>
      </w:pPr>
      <w:r>
        <w:t>2.1. Определение потенциальных направлений использования объекта</w:t>
      </w:r>
    </w:p>
    <w:p w:rsidR="003B56F2" w:rsidRDefault="003B56F2" w:rsidP="003B56F2">
      <w:r>
        <w:t>Исходя из полученного описания и характеристик здания Дома культуры можно предположить потенциальные направления использования здания.</w:t>
      </w:r>
    </w:p>
    <w:p w:rsidR="003B56F2" w:rsidRDefault="003B56F2" w:rsidP="003B56F2">
      <w:pPr>
        <w:ind w:firstLine="0"/>
      </w:pPr>
      <w:r>
        <w:t>В первую очередь рассмотрим коммерческие варианты, когда здание будет продано и потенциально должно приносить прибыль инвесторам</w:t>
      </w:r>
      <w:r w:rsidR="00157967">
        <w:t>.</w:t>
      </w:r>
    </w:p>
    <w:p w:rsidR="00157967" w:rsidRDefault="00157967" w:rsidP="003B56F2">
      <w:pPr>
        <w:ind w:firstLine="0"/>
      </w:pPr>
      <w:r>
        <w:t>Учитывая размеры здания потенциального его можно использовать в трех направлениях:</w:t>
      </w:r>
    </w:p>
    <w:p w:rsidR="00157967" w:rsidRDefault="00157967" w:rsidP="00157967">
      <w:pPr>
        <w:pStyle w:val="af2"/>
        <w:numPr>
          <w:ilvl w:val="0"/>
          <w:numId w:val="2"/>
        </w:numPr>
      </w:pPr>
      <w:r>
        <w:t>офисный центр – помещения будут сдаваться в аренду коммерческим и некоммерческим организациям и учреждениям;</w:t>
      </w:r>
    </w:p>
    <w:p w:rsidR="00157967" w:rsidRDefault="00157967" w:rsidP="00157967">
      <w:pPr>
        <w:pStyle w:val="af2"/>
        <w:numPr>
          <w:ilvl w:val="0"/>
          <w:numId w:val="2"/>
        </w:numPr>
      </w:pPr>
      <w:r>
        <w:t>торговый центр – арендаторами будут являться организации оптово-розничной торговли;</w:t>
      </w:r>
    </w:p>
    <w:p w:rsidR="00157967" w:rsidRDefault="00157967" w:rsidP="00157967">
      <w:pPr>
        <w:pStyle w:val="af2"/>
        <w:numPr>
          <w:ilvl w:val="0"/>
          <w:numId w:val="2"/>
        </w:numPr>
      </w:pPr>
      <w:r>
        <w:t>промышленный объект – реконструировать здание под нужды промышленного предприятия.</w:t>
      </w:r>
    </w:p>
    <w:p w:rsidR="00157967" w:rsidRDefault="00157967" w:rsidP="00157967">
      <w:r>
        <w:t>Здание также может быть снесено под строительство нового торгового центра либо организацию нового производства.</w:t>
      </w:r>
    </w:p>
    <w:p w:rsidR="00157967" w:rsidRDefault="00157967" w:rsidP="00157967">
      <w:r>
        <w:t>В таблице 2.1.1 представлена оценка достоинств и недостатков объекта с точки зрения каждого направления использования.</w:t>
      </w:r>
      <w:r w:rsidR="00E57E36">
        <w:t xml:space="preserve"> Оценка производится по следующей шкале: 0 – неподходящие условия, 1 – удовлетворительные, 2 – оптимальные для данного бизнеса.</w:t>
      </w:r>
    </w:p>
    <w:p w:rsidR="00232F16" w:rsidRDefault="00232F16" w:rsidP="00232F16">
      <w:r>
        <w:t xml:space="preserve">Наименее всего подходит здание для организации торгового центра. Это связано с тем что организация подобного бизнеса требует высокой транспортной доступности и высокой проходимости. Здания полностью не подходит по данным характеристикам, так как добираться общественным транспортом до него сложно, а население близлежащих жилых кварталов небольшое, что не создает достаточной проходимости для высокого уровня продаж. </w:t>
      </w:r>
    </w:p>
    <w:p w:rsidR="00232F16" w:rsidRDefault="00232F16" w:rsidP="00232F16">
      <w:pPr>
        <w:ind w:firstLine="0"/>
        <w:sectPr w:rsidR="00232F16" w:rsidSect="00750E91">
          <w:headerReference w:type="default" r:id="rId12"/>
          <w:pgSz w:w="11906" w:h="16838"/>
          <w:pgMar w:top="1134" w:right="850" w:bottom="1134" w:left="1701" w:header="708" w:footer="708" w:gutter="0"/>
          <w:cols w:space="708"/>
          <w:docGrid w:linePitch="360"/>
        </w:sectPr>
      </w:pPr>
    </w:p>
    <w:p w:rsidR="00157967" w:rsidRDefault="00E57E36" w:rsidP="002534D9">
      <w:pPr>
        <w:pStyle w:val="ad"/>
      </w:pPr>
      <w:r>
        <w:t>Та</w:t>
      </w:r>
      <w:r w:rsidR="002534D9">
        <w:t>блица 2.1.1</w:t>
      </w:r>
    </w:p>
    <w:p w:rsidR="002534D9" w:rsidRDefault="002534D9" w:rsidP="002534D9">
      <w:pPr>
        <w:pStyle w:val="ae"/>
      </w:pPr>
      <w:r>
        <w:t>Привлекательность характеристик объекта для разных видом бизнеса</w:t>
      </w:r>
    </w:p>
    <w:tbl>
      <w:tblPr>
        <w:tblStyle w:val="af3"/>
        <w:tblW w:w="5000" w:type="pct"/>
        <w:tblLook w:val="04A0" w:firstRow="1" w:lastRow="0" w:firstColumn="1" w:lastColumn="0" w:noHBand="0" w:noVBand="1"/>
      </w:tblPr>
      <w:tblGrid>
        <w:gridCol w:w="1892"/>
        <w:gridCol w:w="1658"/>
        <w:gridCol w:w="2097"/>
        <w:gridCol w:w="2002"/>
        <w:gridCol w:w="1875"/>
        <w:gridCol w:w="1340"/>
        <w:gridCol w:w="1961"/>
        <w:gridCol w:w="1961"/>
      </w:tblGrid>
      <w:tr w:rsidR="002534D9" w:rsidRPr="00E57E36" w:rsidTr="002534D9">
        <w:tc>
          <w:tcPr>
            <w:tcW w:w="640" w:type="pct"/>
            <w:vAlign w:val="center"/>
          </w:tcPr>
          <w:p w:rsidR="002534D9" w:rsidRDefault="002534D9" w:rsidP="002534D9">
            <w:pPr>
              <w:ind w:firstLine="0"/>
              <w:jc w:val="center"/>
              <w:rPr>
                <w:sz w:val="24"/>
              </w:rPr>
            </w:pPr>
            <w:r w:rsidRPr="00E57E36">
              <w:rPr>
                <w:sz w:val="24"/>
              </w:rPr>
              <w:t>Направление</w:t>
            </w:r>
          </w:p>
          <w:p w:rsidR="002534D9" w:rsidRPr="00E57E36" w:rsidRDefault="002534D9" w:rsidP="002534D9">
            <w:pPr>
              <w:ind w:firstLine="0"/>
              <w:jc w:val="center"/>
              <w:rPr>
                <w:sz w:val="24"/>
              </w:rPr>
            </w:pPr>
            <w:r w:rsidRPr="00E57E36">
              <w:rPr>
                <w:sz w:val="24"/>
              </w:rPr>
              <w:t>бизнеса</w:t>
            </w:r>
          </w:p>
        </w:tc>
        <w:tc>
          <w:tcPr>
            <w:tcW w:w="561" w:type="pct"/>
            <w:vAlign w:val="center"/>
          </w:tcPr>
          <w:p w:rsidR="002534D9" w:rsidRPr="00E57E36" w:rsidRDefault="002534D9" w:rsidP="00E51CC8">
            <w:pPr>
              <w:ind w:firstLine="0"/>
              <w:jc w:val="center"/>
              <w:rPr>
                <w:sz w:val="24"/>
              </w:rPr>
            </w:pPr>
            <w:r w:rsidRPr="00E57E36">
              <w:rPr>
                <w:sz w:val="24"/>
              </w:rPr>
              <w:t>Площадь здания</w:t>
            </w:r>
          </w:p>
        </w:tc>
        <w:tc>
          <w:tcPr>
            <w:tcW w:w="709" w:type="pct"/>
            <w:vAlign w:val="center"/>
          </w:tcPr>
          <w:p w:rsidR="002534D9" w:rsidRDefault="002534D9" w:rsidP="002534D9">
            <w:pPr>
              <w:ind w:firstLine="0"/>
              <w:jc w:val="center"/>
              <w:rPr>
                <w:sz w:val="24"/>
              </w:rPr>
            </w:pPr>
            <w:r w:rsidRPr="00E57E36">
              <w:rPr>
                <w:sz w:val="24"/>
              </w:rPr>
              <w:t>Конфигурация</w:t>
            </w:r>
          </w:p>
          <w:p w:rsidR="002534D9" w:rsidRPr="00E57E36" w:rsidRDefault="002534D9" w:rsidP="002534D9">
            <w:pPr>
              <w:ind w:firstLine="0"/>
              <w:jc w:val="center"/>
              <w:rPr>
                <w:sz w:val="24"/>
              </w:rPr>
            </w:pPr>
            <w:r w:rsidRPr="00E57E36">
              <w:rPr>
                <w:sz w:val="24"/>
              </w:rPr>
              <w:t>помещений</w:t>
            </w:r>
          </w:p>
        </w:tc>
        <w:tc>
          <w:tcPr>
            <w:tcW w:w="677" w:type="pct"/>
            <w:vAlign w:val="center"/>
          </w:tcPr>
          <w:p w:rsidR="002534D9" w:rsidRDefault="002534D9" w:rsidP="002534D9">
            <w:pPr>
              <w:ind w:firstLine="0"/>
              <w:jc w:val="center"/>
              <w:rPr>
                <w:sz w:val="24"/>
              </w:rPr>
            </w:pPr>
            <w:r w:rsidRPr="00E57E36">
              <w:rPr>
                <w:sz w:val="24"/>
              </w:rPr>
              <w:t>Транспортная</w:t>
            </w:r>
          </w:p>
          <w:p w:rsidR="002534D9" w:rsidRPr="00E57E36" w:rsidRDefault="002534D9" w:rsidP="002534D9">
            <w:pPr>
              <w:ind w:firstLine="0"/>
              <w:jc w:val="center"/>
              <w:rPr>
                <w:sz w:val="24"/>
              </w:rPr>
            </w:pPr>
            <w:r w:rsidRPr="00E57E36">
              <w:rPr>
                <w:sz w:val="24"/>
              </w:rPr>
              <w:t>доступность</w:t>
            </w:r>
          </w:p>
        </w:tc>
        <w:tc>
          <w:tcPr>
            <w:tcW w:w="634" w:type="pct"/>
            <w:vAlign w:val="center"/>
          </w:tcPr>
          <w:p w:rsidR="002534D9" w:rsidRPr="00E57E36" w:rsidRDefault="002534D9" w:rsidP="002534D9">
            <w:pPr>
              <w:ind w:firstLine="0"/>
              <w:jc w:val="center"/>
              <w:rPr>
                <w:sz w:val="24"/>
              </w:rPr>
            </w:pPr>
            <w:r w:rsidRPr="00E57E36">
              <w:rPr>
                <w:sz w:val="24"/>
              </w:rPr>
              <w:t>Удаленность от центра города</w:t>
            </w:r>
          </w:p>
        </w:tc>
        <w:tc>
          <w:tcPr>
            <w:tcW w:w="453" w:type="pct"/>
            <w:vAlign w:val="center"/>
          </w:tcPr>
          <w:p w:rsidR="002534D9" w:rsidRPr="00E57E36" w:rsidRDefault="002534D9" w:rsidP="002534D9">
            <w:pPr>
              <w:ind w:firstLine="0"/>
              <w:jc w:val="center"/>
              <w:rPr>
                <w:sz w:val="24"/>
              </w:rPr>
            </w:pPr>
            <w:r w:rsidRPr="00E57E36">
              <w:rPr>
                <w:sz w:val="24"/>
              </w:rPr>
              <w:t>Наличие жилых районов рядом</w:t>
            </w:r>
          </w:p>
        </w:tc>
        <w:tc>
          <w:tcPr>
            <w:tcW w:w="663" w:type="pct"/>
            <w:vAlign w:val="center"/>
          </w:tcPr>
          <w:p w:rsidR="002534D9" w:rsidRDefault="002534D9" w:rsidP="002534D9">
            <w:pPr>
              <w:ind w:firstLine="0"/>
              <w:jc w:val="center"/>
              <w:rPr>
                <w:sz w:val="24"/>
              </w:rPr>
            </w:pPr>
            <w:r w:rsidRPr="00E57E36">
              <w:rPr>
                <w:sz w:val="24"/>
              </w:rPr>
              <w:t>Численно</w:t>
            </w:r>
            <w:r>
              <w:rPr>
                <w:sz w:val="24"/>
              </w:rPr>
              <w:t>сть населения близлежащих жилых</w:t>
            </w:r>
          </w:p>
          <w:p w:rsidR="002534D9" w:rsidRPr="00E57E36" w:rsidRDefault="002534D9" w:rsidP="002534D9">
            <w:pPr>
              <w:ind w:firstLine="0"/>
              <w:jc w:val="center"/>
              <w:rPr>
                <w:sz w:val="24"/>
              </w:rPr>
            </w:pPr>
            <w:r w:rsidRPr="00E57E36">
              <w:rPr>
                <w:sz w:val="24"/>
              </w:rPr>
              <w:t>районов</w:t>
            </w:r>
          </w:p>
        </w:tc>
        <w:tc>
          <w:tcPr>
            <w:tcW w:w="663" w:type="pct"/>
            <w:vAlign w:val="center"/>
          </w:tcPr>
          <w:p w:rsidR="002534D9" w:rsidRPr="00E57E36" w:rsidRDefault="002534D9" w:rsidP="002534D9">
            <w:pPr>
              <w:ind w:firstLine="0"/>
              <w:jc w:val="center"/>
              <w:rPr>
                <w:sz w:val="24"/>
              </w:rPr>
            </w:pPr>
            <w:r>
              <w:rPr>
                <w:sz w:val="24"/>
              </w:rPr>
              <w:t>ИТОГО</w:t>
            </w:r>
          </w:p>
        </w:tc>
      </w:tr>
      <w:tr w:rsidR="002534D9" w:rsidRPr="00E57E36" w:rsidTr="002534D9">
        <w:tc>
          <w:tcPr>
            <w:tcW w:w="640" w:type="pct"/>
          </w:tcPr>
          <w:p w:rsidR="002534D9" w:rsidRPr="00E57E36" w:rsidRDefault="002534D9" w:rsidP="00E51CC8">
            <w:pPr>
              <w:ind w:firstLine="0"/>
              <w:rPr>
                <w:sz w:val="24"/>
              </w:rPr>
            </w:pPr>
            <w:r>
              <w:rPr>
                <w:sz w:val="24"/>
              </w:rPr>
              <w:t>Офисный центр</w:t>
            </w:r>
          </w:p>
        </w:tc>
        <w:tc>
          <w:tcPr>
            <w:tcW w:w="561" w:type="pct"/>
            <w:vAlign w:val="center"/>
          </w:tcPr>
          <w:p w:rsidR="002534D9" w:rsidRPr="00E57E36" w:rsidRDefault="002534D9" w:rsidP="002534D9">
            <w:pPr>
              <w:ind w:firstLine="0"/>
              <w:jc w:val="right"/>
              <w:rPr>
                <w:sz w:val="24"/>
              </w:rPr>
            </w:pPr>
            <w:r>
              <w:rPr>
                <w:sz w:val="24"/>
              </w:rPr>
              <w:t>2</w:t>
            </w:r>
          </w:p>
        </w:tc>
        <w:tc>
          <w:tcPr>
            <w:tcW w:w="709" w:type="pct"/>
            <w:vAlign w:val="center"/>
          </w:tcPr>
          <w:p w:rsidR="002534D9" w:rsidRPr="00E57E36" w:rsidRDefault="002534D9" w:rsidP="002534D9">
            <w:pPr>
              <w:ind w:firstLine="0"/>
              <w:jc w:val="right"/>
              <w:rPr>
                <w:sz w:val="24"/>
              </w:rPr>
            </w:pPr>
            <w:r>
              <w:rPr>
                <w:sz w:val="24"/>
              </w:rPr>
              <w:t>2</w:t>
            </w:r>
          </w:p>
        </w:tc>
        <w:tc>
          <w:tcPr>
            <w:tcW w:w="677" w:type="pct"/>
            <w:vAlign w:val="center"/>
          </w:tcPr>
          <w:p w:rsidR="002534D9" w:rsidRPr="00E57E36" w:rsidRDefault="002534D9" w:rsidP="002534D9">
            <w:pPr>
              <w:ind w:firstLine="0"/>
              <w:jc w:val="right"/>
              <w:rPr>
                <w:sz w:val="24"/>
              </w:rPr>
            </w:pPr>
            <w:r>
              <w:rPr>
                <w:sz w:val="24"/>
              </w:rPr>
              <w:t>1</w:t>
            </w:r>
          </w:p>
        </w:tc>
        <w:tc>
          <w:tcPr>
            <w:tcW w:w="634" w:type="pct"/>
            <w:vAlign w:val="center"/>
          </w:tcPr>
          <w:p w:rsidR="002534D9" w:rsidRPr="00E57E36" w:rsidRDefault="002534D9" w:rsidP="002534D9">
            <w:pPr>
              <w:ind w:firstLine="0"/>
              <w:jc w:val="right"/>
              <w:rPr>
                <w:sz w:val="24"/>
              </w:rPr>
            </w:pPr>
            <w:r>
              <w:rPr>
                <w:sz w:val="24"/>
              </w:rPr>
              <w:t>1</w:t>
            </w:r>
          </w:p>
        </w:tc>
        <w:tc>
          <w:tcPr>
            <w:tcW w:w="453" w:type="pct"/>
            <w:vAlign w:val="center"/>
          </w:tcPr>
          <w:p w:rsidR="002534D9" w:rsidRPr="00E57E36" w:rsidRDefault="002534D9" w:rsidP="002534D9">
            <w:pPr>
              <w:ind w:firstLine="0"/>
              <w:jc w:val="right"/>
              <w:rPr>
                <w:sz w:val="24"/>
              </w:rPr>
            </w:pPr>
            <w:r>
              <w:rPr>
                <w:sz w:val="24"/>
              </w:rPr>
              <w:t>2</w:t>
            </w:r>
          </w:p>
        </w:tc>
        <w:tc>
          <w:tcPr>
            <w:tcW w:w="663" w:type="pct"/>
            <w:vAlign w:val="center"/>
          </w:tcPr>
          <w:p w:rsidR="002534D9" w:rsidRPr="00E57E36" w:rsidRDefault="002534D9" w:rsidP="002534D9">
            <w:pPr>
              <w:ind w:firstLine="0"/>
              <w:jc w:val="right"/>
              <w:rPr>
                <w:sz w:val="24"/>
              </w:rPr>
            </w:pPr>
            <w:r>
              <w:rPr>
                <w:sz w:val="24"/>
              </w:rPr>
              <w:t>2</w:t>
            </w:r>
          </w:p>
        </w:tc>
        <w:tc>
          <w:tcPr>
            <w:tcW w:w="663" w:type="pct"/>
            <w:vAlign w:val="center"/>
          </w:tcPr>
          <w:p w:rsidR="002534D9" w:rsidRPr="00E57E36" w:rsidRDefault="002534D9" w:rsidP="002534D9">
            <w:pPr>
              <w:ind w:firstLine="0"/>
              <w:jc w:val="right"/>
              <w:rPr>
                <w:sz w:val="24"/>
              </w:rPr>
            </w:pPr>
            <w:r>
              <w:rPr>
                <w:sz w:val="24"/>
              </w:rPr>
              <w:t>10</w:t>
            </w:r>
          </w:p>
        </w:tc>
      </w:tr>
      <w:tr w:rsidR="002534D9" w:rsidRPr="00E57E36" w:rsidTr="002534D9">
        <w:tc>
          <w:tcPr>
            <w:tcW w:w="640" w:type="pct"/>
          </w:tcPr>
          <w:p w:rsidR="002534D9" w:rsidRPr="00E57E36" w:rsidRDefault="002534D9" w:rsidP="00E51CC8">
            <w:pPr>
              <w:ind w:firstLine="0"/>
              <w:rPr>
                <w:sz w:val="24"/>
              </w:rPr>
            </w:pPr>
            <w:r>
              <w:rPr>
                <w:sz w:val="24"/>
              </w:rPr>
              <w:t>Торговый центр</w:t>
            </w:r>
          </w:p>
        </w:tc>
        <w:tc>
          <w:tcPr>
            <w:tcW w:w="561" w:type="pct"/>
            <w:vAlign w:val="center"/>
          </w:tcPr>
          <w:p w:rsidR="002534D9" w:rsidRPr="00E57E36" w:rsidRDefault="002534D9" w:rsidP="002534D9">
            <w:pPr>
              <w:ind w:firstLine="0"/>
              <w:jc w:val="right"/>
              <w:rPr>
                <w:sz w:val="24"/>
              </w:rPr>
            </w:pPr>
            <w:r>
              <w:rPr>
                <w:sz w:val="24"/>
              </w:rPr>
              <w:t>2</w:t>
            </w:r>
          </w:p>
        </w:tc>
        <w:tc>
          <w:tcPr>
            <w:tcW w:w="709" w:type="pct"/>
            <w:vAlign w:val="center"/>
          </w:tcPr>
          <w:p w:rsidR="002534D9" w:rsidRPr="00E57E36" w:rsidRDefault="002534D9" w:rsidP="002534D9">
            <w:pPr>
              <w:ind w:firstLine="0"/>
              <w:jc w:val="right"/>
              <w:rPr>
                <w:sz w:val="24"/>
              </w:rPr>
            </w:pPr>
            <w:r>
              <w:rPr>
                <w:sz w:val="24"/>
              </w:rPr>
              <w:t>1</w:t>
            </w:r>
          </w:p>
        </w:tc>
        <w:tc>
          <w:tcPr>
            <w:tcW w:w="677" w:type="pct"/>
            <w:vAlign w:val="center"/>
          </w:tcPr>
          <w:p w:rsidR="002534D9" w:rsidRPr="00E57E36" w:rsidRDefault="002534D9" w:rsidP="002534D9">
            <w:pPr>
              <w:ind w:firstLine="0"/>
              <w:jc w:val="right"/>
              <w:rPr>
                <w:sz w:val="24"/>
              </w:rPr>
            </w:pPr>
            <w:r>
              <w:rPr>
                <w:sz w:val="24"/>
              </w:rPr>
              <w:t>0</w:t>
            </w:r>
          </w:p>
        </w:tc>
        <w:tc>
          <w:tcPr>
            <w:tcW w:w="634" w:type="pct"/>
            <w:vAlign w:val="center"/>
          </w:tcPr>
          <w:p w:rsidR="002534D9" w:rsidRPr="00E57E36" w:rsidRDefault="002534D9" w:rsidP="002534D9">
            <w:pPr>
              <w:ind w:firstLine="0"/>
              <w:jc w:val="right"/>
              <w:rPr>
                <w:sz w:val="24"/>
              </w:rPr>
            </w:pPr>
            <w:r>
              <w:rPr>
                <w:sz w:val="24"/>
              </w:rPr>
              <w:t>0</w:t>
            </w:r>
          </w:p>
        </w:tc>
        <w:tc>
          <w:tcPr>
            <w:tcW w:w="453" w:type="pct"/>
            <w:vAlign w:val="center"/>
          </w:tcPr>
          <w:p w:rsidR="002534D9" w:rsidRPr="00E57E36" w:rsidRDefault="002534D9" w:rsidP="002534D9">
            <w:pPr>
              <w:ind w:firstLine="0"/>
              <w:jc w:val="right"/>
              <w:rPr>
                <w:sz w:val="24"/>
              </w:rPr>
            </w:pPr>
            <w:r>
              <w:rPr>
                <w:sz w:val="24"/>
              </w:rPr>
              <w:t>2</w:t>
            </w:r>
          </w:p>
        </w:tc>
        <w:tc>
          <w:tcPr>
            <w:tcW w:w="663" w:type="pct"/>
            <w:vAlign w:val="center"/>
          </w:tcPr>
          <w:p w:rsidR="002534D9" w:rsidRPr="00E57E36" w:rsidRDefault="002534D9" w:rsidP="002534D9">
            <w:pPr>
              <w:ind w:firstLine="0"/>
              <w:jc w:val="right"/>
              <w:rPr>
                <w:sz w:val="24"/>
              </w:rPr>
            </w:pPr>
            <w:r>
              <w:rPr>
                <w:sz w:val="24"/>
              </w:rPr>
              <w:t>1</w:t>
            </w:r>
          </w:p>
        </w:tc>
        <w:tc>
          <w:tcPr>
            <w:tcW w:w="663" w:type="pct"/>
            <w:vAlign w:val="center"/>
          </w:tcPr>
          <w:p w:rsidR="002534D9" w:rsidRPr="00E57E36" w:rsidRDefault="002534D9" w:rsidP="002534D9">
            <w:pPr>
              <w:ind w:firstLine="0"/>
              <w:jc w:val="right"/>
              <w:rPr>
                <w:sz w:val="24"/>
              </w:rPr>
            </w:pPr>
            <w:r>
              <w:rPr>
                <w:sz w:val="24"/>
              </w:rPr>
              <w:t>6</w:t>
            </w:r>
          </w:p>
        </w:tc>
      </w:tr>
      <w:tr w:rsidR="002534D9" w:rsidRPr="00E57E36" w:rsidTr="002534D9">
        <w:tc>
          <w:tcPr>
            <w:tcW w:w="640" w:type="pct"/>
          </w:tcPr>
          <w:p w:rsidR="002534D9" w:rsidRPr="00E57E36" w:rsidRDefault="002534D9" w:rsidP="00E51CC8">
            <w:pPr>
              <w:ind w:firstLine="0"/>
              <w:rPr>
                <w:sz w:val="24"/>
              </w:rPr>
            </w:pPr>
            <w:r>
              <w:rPr>
                <w:sz w:val="24"/>
              </w:rPr>
              <w:t>Промышленное предприятие</w:t>
            </w:r>
          </w:p>
        </w:tc>
        <w:tc>
          <w:tcPr>
            <w:tcW w:w="561" w:type="pct"/>
            <w:vAlign w:val="center"/>
          </w:tcPr>
          <w:p w:rsidR="002534D9" w:rsidRPr="00E57E36" w:rsidRDefault="002534D9" w:rsidP="002534D9">
            <w:pPr>
              <w:ind w:firstLine="0"/>
              <w:jc w:val="right"/>
              <w:rPr>
                <w:sz w:val="24"/>
              </w:rPr>
            </w:pPr>
            <w:r>
              <w:rPr>
                <w:sz w:val="24"/>
              </w:rPr>
              <w:t>2</w:t>
            </w:r>
          </w:p>
        </w:tc>
        <w:tc>
          <w:tcPr>
            <w:tcW w:w="709" w:type="pct"/>
            <w:vAlign w:val="center"/>
          </w:tcPr>
          <w:p w:rsidR="002534D9" w:rsidRPr="00E57E36" w:rsidRDefault="002534D9" w:rsidP="002534D9">
            <w:pPr>
              <w:ind w:firstLine="0"/>
              <w:jc w:val="right"/>
              <w:rPr>
                <w:sz w:val="24"/>
              </w:rPr>
            </w:pPr>
            <w:r>
              <w:rPr>
                <w:sz w:val="24"/>
              </w:rPr>
              <w:t>0</w:t>
            </w:r>
          </w:p>
        </w:tc>
        <w:tc>
          <w:tcPr>
            <w:tcW w:w="677" w:type="pct"/>
            <w:vAlign w:val="center"/>
          </w:tcPr>
          <w:p w:rsidR="002534D9" w:rsidRPr="00E57E36" w:rsidRDefault="002534D9" w:rsidP="002534D9">
            <w:pPr>
              <w:ind w:firstLine="0"/>
              <w:jc w:val="right"/>
              <w:rPr>
                <w:sz w:val="24"/>
              </w:rPr>
            </w:pPr>
            <w:r>
              <w:rPr>
                <w:sz w:val="24"/>
              </w:rPr>
              <w:t>2</w:t>
            </w:r>
          </w:p>
        </w:tc>
        <w:tc>
          <w:tcPr>
            <w:tcW w:w="634" w:type="pct"/>
            <w:vAlign w:val="center"/>
          </w:tcPr>
          <w:p w:rsidR="002534D9" w:rsidRPr="00E57E36" w:rsidRDefault="002534D9" w:rsidP="002534D9">
            <w:pPr>
              <w:ind w:firstLine="0"/>
              <w:jc w:val="right"/>
              <w:rPr>
                <w:sz w:val="24"/>
              </w:rPr>
            </w:pPr>
            <w:r>
              <w:rPr>
                <w:sz w:val="24"/>
              </w:rPr>
              <w:t>2</w:t>
            </w:r>
          </w:p>
        </w:tc>
        <w:tc>
          <w:tcPr>
            <w:tcW w:w="453" w:type="pct"/>
            <w:vAlign w:val="center"/>
          </w:tcPr>
          <w:p w:rsidR="002534D9" w:rsidRPr="00E57E36" w:rsidRDefault="002534D9" w:rsidP="002534D9">
            <w:pPr>
              <w:ind w:firstLine="0"/>
              <w:jc w:val="right"/>
              <w:rPr>
                <w:sz w:val="24"/>
              </w:rPr>
            </w:pPr>
            <w:r>
              <w:rPr>
                <w:sz w:val="24"/>
              </w:rPr>
              <w:t>1</w:t>
            </w:r>
          </w:p>
        </w:tc>
        <w:tc>
          <w:tcPr>
            <w:tcW w:w="663" w:type="pct"/>
            <w:vAlign w:val="center"/>
          </w:tcPr>
          <w:p w:rsidR="002534D9" w:rsidRPr="00E57E36" w:rsidRDefault="002534D9" w:rsidP="002534D9">
            <w:pPr>
              <w:ind w:firstLine="0"/>
              <w:jc w:val="right"/>
              <w:rPr>
                <w:sz w:val="24"/>
              </w:rPr>
            </w:pPr>
            <w:r>
              <w:rPr>
                <w:sz w:val="24"/>
              </w:rPr>
              <w:t>1</w:t>
            </w:r>
          </w:p>
        </w:tc>
        <w:tc>
          <w:tcPr>
            <w:tcW w:w="663" w:type="pct"/>
            <w:vAlign w:val="center"/>
          </w:tcPr>
          <w:p w:rsidR="002534D9" w:rsidRPr="00E57E36" w:rsidRDefault="002534D9" w:rsidP="002534D9">
            <w:pPr>
              <w:ind w:firstLine="0"/>
              <w:jc w:val="right"/>
              <w:rPr>
                <w:sz w:val="24"/>
              </w:rPr>
            </w:pPr>
            <w:r>
              <w:rPr>
                <w:sz w:val="24"/>
              </w:rPr>
              <w:t>8</w:t>
            </w:r>
          </w:p>
        </w:tc>
      </w:tr>
    </w:tbl>
    <w:p w:rsidR="002534D9" w:rsidRDefault="002534D9" w:rsidP="00157967"/>
    <w:p w:rsidR="002534D9" w:rsidRDefault="002534D9" w:rsidP="00D962C2">
      <w:pPr>
        <w:sectPr w:rsidR="002534D9" w:rsidSect="00E57E36">
          <w:pgSz w:w="16838" w:h="11906" w:orient="landscape"/>
          <w:pgMar w:top="1701" w:right="1134" w:bottom="851" w:left="1134" w:header="709" w:footer="709" w:gutter="0"/>
          <w:cols w:space="708"/>
          <w:docGrid w:linePitch="360"/>
        </w:sectPr>
      </w:pPr>
    </w:p>
    <w:p w:rsidR="00232F16" w:rsidRDefault="00232F16" w:rsidP="00232F16">
      <w:r>
        <w:t>Объект может быть привлекателен для организации промышленного предприятия, но проблема состоит в отсутствии необходимых для промышленного производства коммуникаций и неудобной внутренней конфигурации помещений. Большинство помещений маленькие, больше подходят для небольших офисов или кабинетов, но не для производства какой-либо продукции. В этой связи для организации промышленного предприятия потребуются дополнительные инвестиции в полную внутреннюю реконструкцию.</w:t>
      </w:r>
    </w:p>
    <w:p w:rsidR="00232F16" w:rsidRDefault="00232F16" w:rsidP="00232F16">
      <w:r>
        <w:t xml:space="preserve">Таким образом, наиболее приемлемый вариант сточки зрения характеристик самого здания, его планировки и расположения наиболее оптимальным вариантом будет являться сдача помещений в аренду небольшим коммерческим и некоммерческим организациям. </w:t>
      </w:r>
    </w:p>
    <w:p w:rsidR="00A7426E" w:rsidRDefault="00A7426E" w:rsidP="00232F16">
      <w:r>
        <w:t xml:space="preserve">Существуют и другие возможные направления использования здания, однако учитывая степени износа и потребность в средствах на ремонт и реконструкцию следует рассматривать только более-менее крупные проекты, способные потенциально покрыть подобные инвестиции. </w:t>
      </w:r>
    </w:p>
    <w:p w:rsidR="00A7426E" w:rsidRDefault="00A7426E" w:rsidP="00A7426E">
      <w:pPr>
        <w:pStyle w:val="2"/>
      </w:pPr>
      <w:r>
        <w:t>2.2. Определение потребности в инвестициях</w:t>
      </w:r>
    </w:p>
    <w:p w:rsidR="00A7426E" w:rsidRDefault="00A7426E" w:rsidP="00232F16">
      <w:r>
        <w:t>Основными направлениями вложения средств будут являться:</w:t>
      </w:r>
    </w:p>
    <w:p w:rsidR="00A7426E" w:rsidRDefault="00A7426E" w:rsidP="00A7426E">
      <w:pPr>
        <w:pStyle w:val="af2"/>
        <w:numPr>
          <w:ilvl w:val="0"/>
          <w:numId w:val="3"/>
        </w:numPr>
      </w:pPr>
      <w:r>
        <w:t>покупка здания;</w:t>
      </w:r>
    </w:p>
    <w:p w:rsidR="00A7426E" w:rsidRDefault="00A7426E" w:rsidP="00A7426E">
      <w:pPr>
        <w:pStyle w:val="af2"/>
        <w:numPr>
          <w:ilvl w:val="0"/>
          <w:numId w:val="3"/>
        </w:numPr>
      </w:pPr>
      <w:r>
        <w:t>ремонт и реконструкция здания и окружающей территории;</w:t>
      </w:r>
    </w:p>
    <w:p w:rsidR="00A7426E" w:rsidRDefault="00A7426E" w:rsidP="00A7426E">
      <w:pPr>
        <w:pStyle w:val="af2"/>
        <w:numPr>
          <w:ilvl w:val="0"/>
          <w:numId w:val="3"/>
        </w:numPr>
      </w:pPr>
      <w:r>
        <w:t>оплата коммунальных расходов;</w:t>
      </w:r>
    </w:p>
    <w:p w:rsidR="00A7426E" w:rsidRDefault="00A7426E" w:rsidP="00A7426E">
      <w:r>
        <w:t xml:space="preserve">Начнем с наиболее очевидных и легко прогнозируемых расходов – коммунальные платежи. Так как степени износа здания велика ремонт займет длительный период времени от одного года до 5 лет, если инвестиции будут поступать не единовременно. </w:t>
      </w:r>
      <w:r w:rsidR="001319D3">
        <w:t>В таком случае каждый год на содержания здания будет необходимо выделять около 1,9 млн рублей. За период до 2022 года общая сумма расходов на коммунальные платежи составит около 10 млн (см таблицу 1.2.3).</w:t>
      </w:r>
    </w:p>
    <w:p w:rsidR="001319D3" w:rsidRDefault="001319D3" w:rsidP="00A7426E">
      <w:r>
        <w:t xml:space="preserve">Помимо этого, инвесторам необходимо выделить средства на покупку здания – около 60 млн рублей. </w:t>
      </w:r>
    </w:p>
    <w:p w:rsidR="008A5FFC" w:rsidRDefault="001319D3" w:rsidP="008A5FFC">
      <w:r>
        <w:t xml:space="preserve">Наиболее крупная статья расходов – ремонт помещений. По разным оценкам от 200 до 300 млн рублей. </w:t>
      </w:r>
      <w:r w:rsidR="008A5FFC">
        <w:t>В расчет будем брать минимальную стоимость в 200 млн рублей, сюда входит капитальный ремонт конструктивных элементов, внешняя и внутренняя отделка помещений, исключая полное благоустройство окружающей территории.</w:t>
      </w:r>
    </w:p>
    <w:p w:rsidR="008A5FFC" w:rsidRDefault="008A5FFC" w:rsidP="008A5FFC">
      <w:r>
        <w:t>Таким образом по самым приближенным оценка, если здание будет куплено сразу же сумма первоначальных инвестиций составит от 262 до 270 млн рублей в зависимости от того как быстро будет производится ремонт.</w:t>
      </w:r>
    </w:p>
    <w:p w:rsidR="008A5FFC" w:rsidRDefault="008A5FFC" w:rsidP="008A5FFC">
      <w:r>
        <w:t>Рассмотрим несколько вариантов:</w:t>
      </w:r>
    </w:p>
    <w:p w:rsidR="008A5FFC" w:rsidRDefault="008A5FFC" w:rsidP="008A5FFC">
      <w:pPr>
        <w:pStyle w:val="af2"/>
        <w:numPr>
          <w:ilvl w:val="0"/>
          <w:numId w:val="4"/>
        </w:numPr>
      </w:pPr>
      <w:r>
        <w:t>ввод в эксплуатацию в течении одного года после покупки;</w:t>
      </w:r>
    </w:p>
    <w:p w:rsidR="008A5FFC" w:rsidRDefault="006D0E12" w:rsidP="008A5FFC">
      <w:pPr>
        <w:pStyle w:val="af2"/>
        <w:numPr>
          <w:ilvl w:val="0"/>
          <w:numId w:val="4"/>
        </w:numPr>
      </w:pPr>
      <w:r>
        <w:t>постепенный ремонт</w:t>
      </w:r>
      <w:r w:rsidR="008A5FFC">
        <w:t xml:space="preserve"> в течении периода от 2 до 6 лет.</w:t>
      </w:r>
    </w:p>
    <w:p w:rsidR="008A5FFC" w:rsidRDefault="0079248C" w:rsidP="008A5FFC">
      <w:r>
        <w:t xml:space="preserve">Так как здания сильно изношено, наибольшие финансовые вливания потребуются в первый год на ремонт основных конструктивных элементов, далее затраты будут меньше – на внутреннюю отделку помещений и ремонт фасада здания. </w:t>
      </w:r>
    </w:p>
    <w:p w:rsidR="0079248C" w:rsidRDefault="0079248C" w:rsidP="008A5FFC">
      <w:r>
        <w:t xml:space="preserve">Если здание не будет приобретено в первый год стоимость продажи будет снижаться, однако стоимость ремонта ввиду роста степени физического износа будет расти. Данные в таблице приведены без учета инфляции, поэтому и сумма коммунальных расходов на коммунальные платежи будут учитываться </w:t>
      </w:r>
      <w:r w:rsidR="00442AD0">
        <w:t>исходя из среднего значения – 1 900 тыс. рублей в год. Рост стоимости ремонтных работ примем пропорциональным росту степени износа – около 2% в год.</w:t>
      </w:r>
    </w:p>
    <w:p w:rsidR="006D0E12" w:rsidRDefault="006D0E12" w:rsidP="006D0E12">
      <w:r>
        <w:t>В таблицах 2.2.1 и 2.2.2 приведены различные сценарии с расчетом потребности в инвестициях. При постепенном ремонте рассмотрим только вариант немедленной покупки, в противном случае полный ввод здания в эксплуатацию отодвигается на более чем десятилетний срок. Предполагается, что около 50% будет выделено в первый год на капительный ремонт ключевых конструктивных элементов, далее инвестиции будут равномерно распределены во времени.</w:t>
      </w:r>
    </w:p>
    <w:p w:rsidR="006D0E12" w:rsidRDefault="006D0E12" w:rsidP="006D0E12"/>
    <w:p w:rsidR="006D0E12" w:rsidRDefault="006D0E12" w:rsidP="008A5FFC">
      <w:pPr>
        <w:sectPr w:rsidR="006D0E12" w:rsidSect="002534D9">
          <w:pgSz w:w="11906" w:h="16838"/>
          <w:pgMar w:top="1134" w:right="851" w:bottom="1134" w:left="1701" w:header="709" w:footer="709" w:gutter="0"/>
          <w:cols w:space="708"/>
          <w:docGrid w:linePitch="360"/>
        </w:sectPr>
      </w:pPr>
    </w:p>
    <w:p w:rsidR="00442AD0" w:rsidRDefault="006D0E12" w:rsidP="006D0E12">
      <w:pPr>
        <w:pStyle w:val="ad"/>
      </w:pPr>
      <w:r>
        <w:t>Таблица 2.2.1</w:t>
      </w:r>
    </w:p>
    <w:p w:rsidR="006D0E12" w:rsidRDefault="006D0E12" w:rsidP="006D0E12">
      <w:pPr>
        <w:pStyle w:val="ae"/>
      </w:pPr>
      <w:r>
        <w:t>Потребность в инвестициях при вводе здания в эксплуатацию в течении года после покупки,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993"/>
        <w:gridCol w:w="1993"/>
        <w:gridCol w:w="1993"/>
        <w:gridCol w:w="1993"/>
        <w:gridCol w:w="1993"/>
      </w:tblGrid>
      <w:tr w:rsidR="006D0E12" w:rsidRPr="006D0E12" w:rsidTr="006D0E12">
        <w:trPr>
          <w:trHeight w:val="630"/>
        </w:trPr>
        <w:tc>
          <w:tcPr>
            <w:tcW w:w="1630" w:type="pct"/>
            <w:shd w:val="clear" w:color="auto" w:fill="auto"/>
            <w:vAlign w:val="center"/>
            <w:hideMark/>
          </w:tcPr>
          <w:p w:rsidR="006D0E12" w:rsidRPr="006D0E12" w:rsidRDefault="006D0E12" w:rsidP="006D0E12">
            <w:pPr>
              <w:spacing w:line="240" w:lineRule="auto"/>
              <w:ind w:firstLine="0"/>
              <w:jc w:val="center"/>
              <w:rPr>
                <w:rFonts w:eastAsia="Times New Roman" w:cs="Times New Roman"/>
                <w:color w:val="000000"/>
                <w:sz w:val="24"/>
                <w:szCs w:val="24"/>
                <w:lang w:eastAsia="zh-CN"/>
              </w:rPr>
            </w:pPr>
            <w:r>
              <w:rPr>
                <w:rFonts w:eastAsia="Times New Roman" w:cs="Times New Roman"/>
                <w:color w:val="000000"/>
                <w:sz w:val="24"/>
                <w:szCs w:val="24"/>
                <w:lang w:eastAsia="zh-CN"/>
              </w:rPr>
              <w:t>Первоначальные расходы</w:t>
            </w:r>
          </w:p>
        </w:tc>
        <w:tc>
          <w:tcPr>
            <w:tcW w:w="674" w:type="pct"/>
            <w:shd w:val="clear" w:color="auto" w:fill="auto"/>
            <w:noWrap/>
            <w:vAlign w:val="center"/>
            <w:hideMark/>
          </w:tcPr>
          <w:p w:rsidR="006D0E12" w:rsidRPr="006D0E12" w:rsidRDefault="006D0E12" w:rsidP="006D0E12">
            <w:pPr>
              <w:spacing w:line="240" w:lineRule="auto"/>
              <w:ind w:firstLine="0"/>
              <w:jc w:val="center"/>
              <w:rPr>
                <w:rFonts w:eastAsia="Times New Roman" w:cs="Times New Roman"/>
                <w:color w:val="000000"/>
                <w:sz w:val="24"/>
                <w:szCs w:val="24"/>
                <w:lang w:eastAsia="zh-CN"/>
              </w:rPr>
            </w:pPr>
            <w:r w:rsidRPr="006D0E12">
              <w:rPr>
                <w:rFonts w:eastAsia="Times New Roman" w:cs="Times New Roman"/>
                <w:color w:val="000000"/>
                <w:sz w:val="24"/>
                <w:szCs w:val="24"/>
                <w:lang w:eastAsia="zh-CN"/>
              </w:rPr>
              <w:t>2018</w:t>
            </w:r>
          </w:p>
        </w:tc>
        <w:tc>
          <w:tcPr>
            <w:tcW w:w="674" w:type="pct"/>
            <w:shd w:val="clear" w:color="auto" w:fill="auto"/>
            <w:noWrap/>
            <w:vAlign w:val="center"/>
            <w:hideMark/>
          </w:tcPr>
          <w:p w:rsidR="006D0E12" w:rsidRPr="006D0E12" w:rsidRDefault="006D0E12" w:rsidP="006D0E12">
            <w:pPr>
              <w:spacing w:line="240" w:lineRule="auto"/>
              <w:ind w:firstLine="0"/>
              <w:jc w:val="center"/>
              <w:rPr>
                <w:rFonts w:eastAsia="Times New Roman" w:cs="Times New Roman"/>
                <w:color w:val="000000"/>
                <w:sz w:val="24"/>
                <w:szCs w:val="24"/>
                <w:lang w:eastAsia="zh-CN"/>
              </w:rPr>
            </w:pPr>
            <w:r w:rsidRPr="006D0E12">
              <w:rPr>
                <w:rFonts w:eastAsia="Times New Roman" w:cs="Times New Roman"/>
                <w:color w:val="000000"/>
                <w:sz w:val="24"/>
                <w:szCs w:val="24"/>
                <w:lang w:eastAsia="zh-CN"/>
              </w:rPr>
              <w:t>2019</w:t>
            </w:r>
          </w:p>
        </w:tc>
        <w:tc>
          <w:tcPr>
            <w:tcW w:w="674" w:type="pct"/>
            <w:shd w:val="clear" w:color="auto" w:fill="auto"/>
            <w:noWrap/>
            <w:vAlign w:val="center"/>
            <w:hideMark/>
          </w:tcPr>
          <w:p w:rsidR="006D0E12" w:rsidRPr="006D0E12" w:rsidRDefault="006D0E12" w:rsidP="006D0E12">
            <w:pPr>
              <w:spacing w:line="240" w:lineRule="auto"/>
              <w:ind w:firstLine="0"/>
              <w:jc w:val="center"/>
              <w:rPr>
                <w:rFonts w:eastAsia="Times New Roman" w:cs="Times New Roman"/>
                <w:color w:val="000000"/>
                <w:sz w:val="24"/>
                <w:szCs w:val="24"/>
                <w:lang w:eastAsia="zh-CN"/>
              </w:rPr>
            </w:pPr>
            <w:r w:rsidRPr="006D0E12">
              <w:rPr>
                <w:rFonts w:eastAsia="Times New Roman" w:cs="Times New Roman"/>
                <w:color w:val="000000"/>
                <w:sz w:val="24"/>
                <w:szCs w:val="24"/>
                <w:lang w:eastAsia="zh-CN"/>
              </w:rPr>
              <w:t>2020</w:t>
            </w:r>
          </w:p>
        </w:tc>
        <w:tc>
          <w:tcPr>
            <w:tcW w:w="674" w:type="pct"/>
            <w:shd w:val="clear" w:color="auto" w:fill="auto"/>
            <w:noWrap/>
            <w:vAlign w:val="center"/>
            <w:hideMark/>
          </w:tcPr>
          <w:p w:rsidR="006D0E12" w:rsidRPr="006D0E12" w:rsidRDefault="006D0E12" w:rsidP="006D0E12">
            <w:pPr>
              <w:spacing w:line="240" w:lineRule="auto"/>
              <w:ind w:firstLine="0"/>
              <w:jc w:val="center"/>
              <w:rPr>
                <w:rFonts w:eastAsia="Times New Roman" w:cs="Times New Roman"/>
                <w:color w:val="000000"/>
                <w:sz w:val="24"/>
                <w:szCs w:val="24"/>
                <w:lang w:eastAsia="zh-CN"/>
              </w:rPr>
            </w:pPr>
            <w:r w:rsidRPr="006D0E12">
              <w:rPr>
                <w:rFonts w:eastAsia="Times New Roman" w:cs="Times New Roman"/>
                <w:color w:val="000000"/>
                <w:sz w:val="24"/>
                <w:szCs w:val="24"/>
                <w:lang w:eastAsia="zh-CN"/>
              </w:rPr>
              <w:t>2021</w:t>
            </w:r>
          </w:p>
        </w:tc>
        <w:tc>
          <w:tcPr>
            <w:tcW w:w="674" w:type="pct"/>
            <w:shd w:val="clear" w:color="auto" w:fill="auto"/>
            <w:noWrap/>
            <w:vAlign w:val="center"/>
            <w:hideMark/>
          </w:tcPr>
          <w:p w:rsidR="006D0E12" w:rsidRPr="006D0E12" w:rsidRDefault="006D0E12" w:rsidP="006D0E12">
            <w:pPr>
              <w:spacing w:line="240" w:lineRule="auto"/>
              <w:ind w:firstLine="0"/>
              <w:jc w:val="center"/>
              <w:rPr>
                <w:rFonts w:eastAsia="Times New Roman" w:cs="Times New Roman"/>
                <w:color w:val="000000"/>
                <w:sz w:val="24"/>
                <w:szCs w:val="24"/>
                <w:lang w:eastAsia="zh-CN"/>
              </w:rPr>
            </w:pPr>
            <w:r w:rsidRPr="006D0E12">
              <w:rPr>
                <w:rFonts w:eastAsia="Times New Roman" w:cs="Times New Roman"/>
                <w:color w:val="000000"/>
                <w:sz w:val="24"/>
                <w:szCs w:val="24"/>
                <w:lang w:eastAsia="zh-CN"/>
              </w:rPr>
              <w:t>2022</w:t>
            </w:r>
          </w:p>
        </w:tc>
      </w:tr>
      <w:tr w:rsidR="006D0E12" w:rsidRPr="006D0E12" w:rsidTr="006D0E12">
        <w:trPr>
          <w:trHeight w:val="315"/>
        </w:trPr>
        <w:tc>
          <w:tcPr>
            <w:tcW w:w="1630" w:type="pct"/>
            <w:shd w:val="clear" w:color="auto" w:fill="auto"/>
            <w:noWrap/>
            <w:vAlign w:val="bottom"/>
            <w:hideMark/>
          </w:tcPr>
          <w:p w:rsidR="006D0E12" w:rsidRPr="006D0E12" w:rsidRDefault="006D0E12" w:rsidP="006D0E12">
            <w:pPr>
              <w:spacing w:line="240" w:lineRule="auto"/>
              <w:ind w:firstLine="0"/>
              <w:jc w:val="left"/>
              <w:rPr>
                <w:rFonts w:eastAsia="Times New Roman" w:cs="Times New Roman"/>
                <w:color w:val="000000"/>
                <w:sz w:val="24"/>
                <w:szCs w:val="24"/>
                <w:lang w:eastAsia="zh-CN"/>
              </w:rPr>
            </w:pPr>
            <w:r w:rsidRPr="006D0E12">
              <w:rPr>
                <w:rFonts w:eastAsia="Times New Roman" w:cs="Times New Roman"/>
                <w:color w:val="000000"/>
                <w:sz w:val="24"/>
                <w:szCs w:val="24"/>
                <w:lang w:eastAsia="zh-CN"/>
              </w:rPr>
              <w:t>Ремонт помещений</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200 000 000</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203 538 462</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207 139 527</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210 804 303</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214 533 917</w:t>
            </w:r>
          </w:p>
        </w:tc>
      </w:tr>
      <w:tr w:rsidR="006D0E12" w:rsidRPr="006D0E12" w:rsidTr="006D0E12">
        <w:trPr>
          <w:trHeight w:val="315"/>
        </w:trPr>
        <w:tc>
          <w:tcPr>
            <w:tcW w:w="1630" w:type="pct"/>
            <w:shd w:val="clear" w:color="auto" w:fill="auto"/>
            <w:noWrap/>
            <w:vAlign w:val="bottom"/>
            <w:hideMark/>
          </w:tcPr>
          <w:p w:rsidR="006D0E12" w:rsidRPr="006D0E12" w:rsidRDefault="006D0E12" w:rsidP="006D0E12">
            <w:pPr>
              <w:spacing w:line="240" w:lineRule="auto"/>
              <w:ind w:firstLine="0"/>
              <w:jc w:val="left"/>
              <w:rPr>
                <w:rFonts w:eastAsia="Times New Roman" w:cs="Times New Roman"/>
                <w:color w:val="000000"/>
                <w:sz w:val="24"/>
                <w:szCs w:val="24"/>
                <w:lang w:eastAsia="zh-CN"/>
              </w:rPr>
            </w:pPr>
            <w:r w:rsidRPr="006D0E12">
              <w:rPr>
                <w:rFonts w:eastAsia="Times New Roman" w:cs="Times New Roman"/>
                <w:color w:val="000000"/>
                <w:sz w:val="24"/>
                <w:szCs w:val="24"/>
                <w:lang w:eastAsia="zh-CN"/>
              </w:rPr>
              <w:t>Коммунальные платежи</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1 900 000,0</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1 900 000,0</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1 900 000,0</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1 900 000,0</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1 900 000,0</w:t>
            </w:r>
          </w:p>
        </w:tc>
      </w:tr>
      <w:tr w:rsidR="006D0E12" w:rsidRPr="006D0E12" w:rsidTr="006D0E12">
        <w:trPr>
          <w:trHeight w:val="315"/>
        </w:trPr>
        <w:tc>
          <w:tcPr>
            <w:tcW w:w="1630" w:type="pct"/>
            <w:shd w:val="clear" w:color="auto" w:fill="auto"/>
            <w:noWrap/>
            <w:vAlign w:val="bottom"/>
            <w:hideMark/>
          </w:tcPr>
          <w:p w:rsidR="006D0E12" w:rsidRPr="006D0E12" w:rsidRDefault="006D0E12" w:rsidP="006D0E12">
            <w:pPr>
              <w:spacing w:line="240" w:lineRule="auto"/>
              <w:ind w:firstLine="0"/>
              <w:jc w:val="left"/>
              <w:rPr>
                <w:rFonts w:eastAsia="Times New Roman" w:cs="Times New Roman"/>
                <w:color w:val="000000"/>
                <w:sz w:val="24"/>
                <w:szCs w:val="24"/>
                <w:lang w:eastAsia="zh-CN"/>
              </w:rPr>
            </w:pPr>
            <w:r w:rsidRPr="006D0E12">
              <w:rPr>
                <w:rFonts w:eastAsia="Times New Roman" w:cs="Times New Roman"/>
                <w:color w:val="000000"/>
                <w:sz w:val="24"/>
                <w:szCs w:val="24"/>
                <w:lang w:eastAsia="zh-CN"/>
              </w:rPr>
              <w:t>Расходы на приобретение здания</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60 000 000</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50 000 000</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40 000 000</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30 000 000</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20 000 000</w:t>
            </w:r>
          </w:p>
        </w:tc>
      </w:tr>
      <w:tr w:rsidR="006D0E12" w:rsidRPr="006D0E12" w:rsidTr="006D0E12">
        <w:trPr>
          <w:trHeight w:val="315"/>
        </w:trPr>
        <w:tc>
          <w:tcPr>
            <w:tcW w:w="1630" w:type="pct"/>
            <w:shd w:val="clear" w:color="auto" w:fill="auto"/>
            <w:noWrap/>
            <w:vAlign w:val="bottom"/>
            <w:hideMark/>
          </w:tcPr>
          <w:p w:rsidR="006D0E12" w:rsidRPr="006D0E12" w:rsidRDefault="006D0E12" w:rsidP="006D0E12">
            <w:pPr>
              <w:spacing w:line="240" w:lineRule="auto"/>
              <w:ind w:firstLine="0"/>
              <w:jc w:val="left"/>
              <w:rPr>
                <w:rFonts w:eastAsia="Times New Roman" w:cs="Times New Roman"/>
                <w:color w:val="000000"/>
                <w:sz w:val="24"/>
                <w:szCs w:val="24"/>
                <w:lang w:eastAsia="zh-CN"/>
              </w:rPr>
            </w:pPr>
            <w:r w:rsidRPr="006D0E12">
              <w:rPr>
                <w:rFonts w:eastAsia="Times New Roman" w:cs="Times New Roman"/>
                <w:color w:val="000000"/>
                <w:sz w:val="24"/>
                <w:szCs w:val="24"/>
                <w:lang w:eastAsia="zh-CN"/>
              </w:rPr>
              <w:t>Итого первоначальных инвестиций</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261 900 000</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255 438 462</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249 039 527</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242 704 303</w:t>
            </w:r>
          </w:p>
        </w:tc>
        <w:tc>
          <w:tcPr>
            <w:tcW w:w="674" w:type="pct"/>
            <w:shd w:val="clear" w:color="auto" w:fill="auto"/>
            <w:noWrap/>
            <w:vAlign w:val="bottom"/>
            <w:hideMark/>
          </w:tcPr>
          <w:p w:rsidR="006D0E12" w:rsidRPr="006D0E12" w:rsidRDefault="006D0E12" w:rsidP="006D0E12">
            <w:pPr>
              <w:spacing w:line="240" w:lineRule="auto"/>
              <w:ind w:firstLine="0"/>
              <w:jc w:val="right"/>
              <w:rPr>
                <w:rFonts w:eastAsia="Times New Roman" w:cs="Times New Roman"/>
                <w:color w:val="000000"/>
                <w:sz w:val="24"/>
                <w:szCs w:val="24"/>
                <w:lang w:eastAsia="zh-CN"/>
              </w:rPr>
            </w:pPr>
            <w:r w:rsidRPr="006D0E12">
              <w:rPr>
                <w:rFonts w:eastAsia="Times New Roman" w:cs="Times New Roman"/>
                <w:color w:val="000000"/>
                <w:sz w:val="24"/>
                <w:szCs w:val="24"/>
                <w:lang w:eastAsia="zh-CN"/>
              </w:rPr>
              <w:t>236 433 917</w:t>
            </w:r>
          </w:p>
        </w:tc>
      </w:tr>
    </w:tbl>
    <w:p w:rsidR="00442AD0" w:rsidRDefault="00442AD0" w:rsidP="008A5FFC"/>
    <w:p w:rsidR="006D0E12" w:rsidRDefault="006D0E12" w:rsidP="006D0E12">
      <w:pPr>
        <w:pStyle w:val="ad"/>
      </w:pPr>
      <w:r>
        <w:t>Таблица 2.2.2</w:t>
      </w:r>
    </w:p>
    <w:p w:rsidR="006D0E12" w:rsidRDefault="006D0E12" w:rsidP="006D0E12">
      <w:pPr>
        <w:pStyle w:val="ae"/>
      </w:pPr>
      <w:r>
        <w:t>Потребность в инвестициях при постепенном ремонте здания</w:t>
      </w:r>
    </w:p>
    <w:tbl>
      <w:tblPr>
        <w:tblW w:w="5000" w:type="pct"/>
        <w:tblLook w:val="04A0" w:firstRow="1" w:lastRow="0" w:firstColumn="1" w:lastColumn="0" w:noHBand="0" w:noVBand="1"/>
      </w:tblPr>
      <w:tblGrid>
        <w:gridCol w:w="5033"/>
        <w:gridCol w:w="2014"/>
        <w:gridCol w:w="1754"/>
        <w:gridCol w:w="1910"/>
        <w:gridCol w:w="2014"/>
        <w:gridCol w:w="2061"/>
      </w:tblGrid>
      <w:tr w:rsidR="00F02DA0" w:rsidRPr="00F02DA0" w:rsidTr="00F02DA0">
        <w:trPr>
          <w:trHeight w:val="315"/>
        </w:trPr>
        <w:tc>
          <w:tcPr>
            <w:tcW w:w="1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2DA0" w:rsidRPr="00F02DA0" w:rsidRDefault="00F02DA0" w:rsidP="00F02DA0">
            <w:pPr>
              <w:spacing w:line="240" w:lineRule="auto"/>
              <w:ind w:firstLine="0"/>
              <w:jc w:val="center"/>
              <w:rPr>
                <w:rFonts w:eastAsia="Times New Roman" w:cs="Times New Roman"/>
                <w:color w:val="000000"/>
                <w:sz w:val="24"/>
                <w:szCs w:val="24"/>
                <w:lang w:eastAsia="zh-CN"/>
              </w:rPr>
            </w:pPr>
            <w:r w:rsidRPr="00F02DA0">
              <w:rPr>
                <w:rFonts w:eastAsia="Times New Roman" w:cs="Times New Roman"/>
                <w:color w:val="000000"/>
                <w:sz w:val="24"/>
                <w:szCs w:val="24"/>
                <w:lang w:eastAsia="zh-CN"/>
              </w:rPr>
              <w:t>Первоначальные инвестиции</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F02DA0" w:rsidRPr="00F02DA0" w:rsidRDefault="00F02DA0" w:rsidP="00F02DA0">
            <w:pPr>
              <w:spacing w:line="240" w:lineRule="auto"/>
              <w:ind w:firstLine="0"/>
              <w:jc w:val="center"/>
              <w:rPr>
                <w:rFonts w:eastAsia="Times New Roman" w:cs="Times New Roman"/>
                <w:color w:val="000000"/>
                <w:sz w:val="24"/>
                <w:szCs w:val="24"/>
                <w:lang w:eastAsia="zh-CN"/>
              </w:rPr>
            </w:pPr>
            <w:r w:rsidRPr="00F02DA0">
              <w:rPr>
                <w:rFonts w:eastAsia="Times New Roman" w:cs="Times New Roman"/>
                <w:color w:val="000000"/>
                <w:sz w:val="24"/>
                <w:szCs w:val="24"/>
                <w:lang w:eastAsia="zh-CN"/>
              </w:rPr>
              <w:t>2018</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rsidR="00F02DA0" w:rsidRPr="00F02DA0" w:rsidRDefault="00F02DA0" w:rsidP="00F02DA0">
            <w:pPr>
              <w:spacing w:line="240" w:lineRule="auto"/>
              <w:ind w:firstLine="0"/>
              <w:jc w:val="center"/>
              <w:rPr>
                <w:rFonts w:eastAsia="Times New Roman" w:cs="Times New Roman"/>
                <w:color w:val="000000"/>
                <w:sz w:val="24"/>
                <w:szCs w:val="24"/>
                <w:lang w:eastAsia="zh-CN"/>
              </w:rPr>
            </w:pPr>
            <w:r w:rsidRPr="00F02DA0">
              <w:rPr>
                <w:rFonts w:eastAsia="Times New Roman" w:cs="Times New Roman"/>
                <w:color w:val="000000"/>
                <w:sz w:val="24"/>
                <w:szCs w:val="24"/>
                <w:lang w:eastAsia="zh-CN"/>
              </w:rPr>
              <w:t>2019</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F02DA0" w:rsidRPr="00F02DA0" w:rsidRDefault="00F02DA0" w:rsidP="00F02DA0">
            <w:pPr>
              <w:spacing w:line="240" w:lineRule="auto"/>
              <w:ind w:firstLine="0"/>
              <w:jc w:val="center"/>
              <w:rPr>
                <w:rFonts w:eastAsia="Times New Roman" w:cs="Times New Roman"/>
                <w:color w:val="000000"/>
                <w:sz w:val="24"/>
                <w:szCs w:val="24"/>
                <w:lang w:eastAsia="zh-CN"/>
              </w:rPr>
            </w:pPr>
            <w:r w:rsidRPr="00F02DA0">
              <w:rPr>
                <w:rFonts w:eastAsia="Times New Roman" w:cs="Times New Roman"/>
                <w:color w:val="000000"/>
                <w:sz w:val="24"/>
                <w:szCs w:val="24"/>
                <w:lang w:eastAsia="zh-CN"/>
              </w:rPr>
              <w:t>2020</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F02DA0" w:rsidRPr="00F02DA0" w:rsidRDefault="00F02DA0" w:rsidP="00F02DA0">
            <w:pPr>
              <w:spacing w:line="240" w:lineRule="auto"/>
              <w:ind w:firstLine="0"/>
              <w:jc w:val="center"/>
              <w:rPr>
                <w:rFonts w:eastAsia="Times New Roman" w:cs="Times New Roman"/>
                <w:color w:val="000000"/>
                <w:sz w:val="24"/>
                <w:szCs w:val="24"/>
                <w:lang w:eastAsia="zh-CN"/>
              </w:rPr>
            </w:pPr>
            <w:r w:rsidRPr="00F02DA0">
              <w:rPr>
                <w:rFonts w:eastAsia="Times New Roman" w:cs="Times New Roman"/>
                <w:color w:val="000000"/>
                <w:sz w:val="24"/>
                <w:szCs w:val="24"/>
                <w:lang w:eastAsia="zh-CN"/>
              </w:rPr>
              <w:t>2021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F02DA0" w:rsidRPr="00F02DA0" w:rsidRDefault="00F02DA0" w:rsidP="00F02DA0">
            <w:pPr>
              <w:spacing w:line="240" w:lineRule="auto"/>
              <w:ind w:firstLine="0"/>
              <w:jc w:val="center"/>
              <w:rPr>
                <w:rFonts w:eastAsia="Times New Roman" w:cs="Times New Roman"/>
                <w:color w:val="000000"/>
                <w:sz w:val="24"/>
                <w:szCs w:val="24"/>
                <w:lang w:eastAsia="zh-CN"/>
              </w:rPr>
            </w:pPr>
            <w:r w:rsidRPr="00F02DA0">
              <w:rPr>
                <w:rFonts w:eastAsia="Times New Roman" w:cs="Times New Roman"/>
                <w:color w:val="000000"/>
                <w:sz w:val="24"/>
                <w:szCs w:val="24"/>
                <w:lang w:eastAsia="zh-CN"/>
              </w:rPr>
              <w:t>2022</w:t>
            </w:r>
          </w:p>
        </w:tc>
      </w:tr>
      <w:tr w:rsidR="00F02DA0" w:rsidRPr="00F02DA0" w:rsidTr="00F02DA0">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center"/>
              <w:rPr>
                <w:rFonts w:eastAsia="Times New Roman" w:cs="Times New Roman"/>
                <w:color w:val="000000"/>
                <w:sz w:val="24"/>
                <w:szCs w:val="24"/>
                <w:lang w:eastAsia="zh-CN"/>
              </w:rPr>
            </w:pPr>
            <w:r w:rsidRPr="00F02DA0">
              <w:rPr>
                <w:rFonts w:eastAsia="Times New Roman" w:cs="Times New Roman"/>
                <w:color w:val="000000"/>
                <w:sz w:val="24"/>
                <w:szCs w:val="24"/>
                <w:lang w:eastAsia="zh-CN"/>
              </w:rPr>
              <w:t>В течении 2-х лет</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Ремонт помещений</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100 000 000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100 000 000</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Коммунальные платежи</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1 900 000,0</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Расходы на приобретение здания</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60 000 000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Итого первоначальных инвестиций</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161 900 000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101 900 000</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Сумма инвестиций</w:t>
            </w:r>
          </w:p>
        </w:tc>
        <w:tc>
          <w:tcPr>
            <w:tcW w:w="3298" w:type="pct"/>
            <w:gridSpan w:val="5"/>
            <w:tcBorders>
              <w:top w:val="single" w:sz="4" w:space="0" w:color="auto"/>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263 800 000</w:t>
            </w:r>
          </w:p>
        </w:tc>
      </w:tr>
      <w:tr w:rsidR="00F02DA0" w:rsidRPr="00F02DA0" w:rsidTr="00F02DA0">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center"/>
              <w:rPr>
                <w:rFonts w:eastAsia="Times New Roman" w:cs="Times New Roman"/>
                <w:color w:val="000000"/>
                <w:sz w:val="24"/>
                <w:szCs w:val="24"/>
                <w:lang w:eastAsia="zh-CN"/>
              </w:rPr>
            </w:pPr>
            <w:r w:rsidRPr="00F02DA0">
              <w:rPr>
                <w:rFonts w:eastAsia="Times New Roman" w:cs="Times New Roman"/>
                <w:color w:val="000000"/>
                <w:sz w:val="24"/>
                <w:szCs w:val="24"/>
                <w:lang w:eastAsia="zh-CN"/>
              </w:rPr>
              <w:t>В течении 3-х лет</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Ремонт помещений</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100 000 000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50 000 000</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50 000 000</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Коммунальные платежи</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Расходы на приобретение здания</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60 000 000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Итого первоначальных инвестиций</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161 900 000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51 900 000</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51 900 000</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Сумма инвестиций</w:t>
            </w:r>
          </w:p>
        </w:tc>
        <w:tc>
          <w:tcPr>
            <w:tcW w:w="3298" w:type="pct"/>
            <w:gridSpan w:val="5"/>
            <w:tcBorders>
              <w:top w:val="single" w:sz="4" w:space="0" w:color="auto"/>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265 700 000</w:t>
            </w:r>
          </w:p>
        </w:tc>
      </w:tr>
    </w:tbl>
    <w:p w:rsidR="00F02DA0" w:rsidRDefault="00F02DA0"/>
    <w:p w:rsidR="00F02DA0" w:rsidRDefault="00F02DA0"/>
    <w:p w:rsidR="00F02DA0" w:rsidRPr="00F02DA0" w:rsidRDefault="00F02DA0" w:rsidP="00F02DA0">
      <w:pPr>
        <w:pStyle w:val="ad"/>
        <w:rPr>
          <w:b w:val="0"/>
          <w:i/>
        </w:rPr>
      </w:pPr>
      <w:r w:rsidRPr="00F02DA0">
        <w:rPr>
          <w:b w:val="0"/>
          <w:i/>
        </w:rPr>
        <w:t>Продолжение таблица 2.2.2</w:t>
      </w:r>
    </w:p>
    <w:tbl>
      <w:tblPr>
        <w:tblW w:w="5000" w:type="pct"/>
        <w:tblLook w:val="04A0" w:firstRow="1" w:lastRow="0" w:firstColumn="1" w:lastColumn="0" w:noHBand="0" w:noVBand="1"/>
      </w:tblPr>
      <w:tblGrid>
        <w:gridCol w:w="5033"/>
        <w:gridCol w:w="2014"/>
        <w:gridCol w:w="1754"/>
        <w:gridCol w:w="1910"/>
        <w:gridCol w:w="2014"/>
        <w:gridCol w:w="2061"/>
      </w:tblGrid>
      <w:tr w:rsidR="00F02DA0" w:rsidRPr="00F02DA0" w:rsidTr="00F02DA0">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center"/>
              <w:rPr>
                <w:rFonts w:eastAsia="Times New Roman" w:cs="Times New Roman"/>
                <w:color w:val="000000"/>
                <w:sz w:val="24"/>
                <w:szCs w:val="24"/>
                <w:lang w:eastAsia="zh-CN"/>
              </w:rPr>
            </w:pPr>
            <w:r w:rsidRPr="00F02DA0">
              <w:rPr>
                <w:rFonts w:eastAsia="Times New Roman" w:cs="Times New Roman"/>
                <w:color w:val="000000"/>
                <w:sz w:val="24"/>
                <w:szCs w:val="24"/>
                <w:lang w:eastAsia="zh-CN"/>
              </w:rPr>
              <w:t>В течении 4-х лет</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Ремонт помещений</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100 000 000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33 333 333</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33 333 333</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33 333 333</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Коммунальные платежи</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Расходы на приобретение здания</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60 000 000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Итого первоначальных инвестиций</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161 900 000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35 233 333</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35 233 333</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35 233 333</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Сумма инвестиций</w:t>
            </w:r>
          </w:p>
        </w:tc>
        <w:tc>
          <w:tcPr>
            <w:tcW w:w="32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267 600 000</w:t>
            </w:r>
          </w:p>
        </w:tc>
      </w:tr>
      <w:tr w:rsidR="00F02DA0" w:rsidRPr="00F02DA0" w:rsidTr="00F02DA0">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center"/>
              <w:rPr>
                <w:rFonts w:eastAsia="Times New Roman" w:cs="Times New Roman"/>
                <w:color w:val="000000"/>
                <w:sz w:val="24"/>
                <w:szCs w:val="24"/>
                <w:lang w:eastAsia="zh-CN"/>
              </w:rPr>
            </w:pPr>
            <w:r w:rsidRPr="00F02DA0">
              <w:rPr>
                <w:rFonts w:eastAsia="Times New Roman" w:cs="Times New Roman"/>
                <w:color w:val="000000"/>
                <w:sz w:val="24"/>
                <w:szCs w:val="24"/>
                <w:lang w:eastAsia="zh-CN"/>
              </w:rPr>
              <w:t>В течении 5 лет</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Ремонт помещений</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100 000 000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25 000 000</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25 000 000</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25 000 000</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25 000 000</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Коммунальные платежи</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1 900 000</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Расходы на приобретение здания</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60 000 000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 </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Итого первоначальных инвестиций</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161 900 000</w:t>
            </w:r>
          </w:p>
        </w:tc>
        <w:tc>
          <w:tcPr>
            <w:tcW w:w="593"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26 900 000</w:t>
            </w:r>
          </w:p>
        </w:tc>
        <w:tc>
          <w:tcPr>
            <w:tcW w:w="646"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26 900 000</w:t>
            </w:r>
          </w:p>
        </w:tc>
        <w:tc>
          <w:tcPr>
            <w:tcW w:w="681"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26 900 000</w:t>
            </w:r>
          </w:p>
        </w:tc>
        <w:tc>
          <w:tcPr>
            <w:tcW w:w="697" w:type="pct"/>
            <w:tcBorders>
              <w:top w:val="nil"/>
              <w:left w:val="nil"/>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26 900 000</w:t>
            </w:r>
          </w:p>
        </w:tc>
      </w:tr>
      <w:tr w:rsidR="00F02DA0" w:rsidRPr="00F02DA0" w:rsidTr="00F02DA0">
        <w:trPr>
          <w:trHeight w:val="315"/>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rsidR="00F02DA0" w:rsidRPr="00F02DA0" w:rsidRDefault="00F02DA0" w:rsidP="00F02DA0">
            <w:pPr>
              <w:spacing w:line="240" w:lineRule="auto"/>
              <w:ind w:firstLine="0"/>
              <w:jc w:val="left"/>
              <w:rPr>
                <w:rFonts w:eastAsia="Times New Roman" w:cs="Times New Roman"/>
                <w:color w:val="000000"/>
                <w:sz w:val="24"/>
                <w:szCs w:val="24"/>
                <w:lang w:eastAsia="zh-CN"/>
              </w:rPr>
            </w:pPr>
            <w:r w:rsidRPr="00F02DA0">
              <w:rPr>
                <w:rFonts w:eastAsia="Times New Roman" w:cs="Times New Roman"/>
                <w:color w:val="000000"/>
                <w:sz w:val="24"/>
                <w:szCs w:val="24"/>
                <w:lang w:eastAsia="zh-CN"/>
              </w:rPr>
              <w:t>Сумма инвестиций</w:t>
            </w:r>
          </w:p>
        </w:tc>
        <w:tc>
          <w:tcPr>
            <w:tcW w:w="32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F02DA0" w:rsidRPr="00F02DA0" w:rsidRDefault="00F02DA0" w:rsidP="00F02DA0">
            <w:pPr>
              <w:spacing w:line="240" w:lineRule="auto"/>
              <w:ind w:firstLine="0"/>
              <w:jc w:val="right"/>
              <w:rPr>
                <w:rFonts w:eastAsia="Times New Roman" w:cs="Times New Roman"/>
                <w:color w:val="000000"/>
                <w:sz w:val="24"/>
                <w:szCs w:val="24"/>
                <w:lang w:eastAsia="zh-CN"/>
              </w:rPr>
            </w:pPr>
            <w:r w:rsidRPr="00F02DA0">
              <w:rPr>
                <w:rFonts w:eastAsia="Times New Roman" w:cs="Times New Roman"/>
                <w:color w:val="000000"/>
                <w:sz w:val="24"/>
                <w:szCs w:val="24"/>
                <w:lang w:eastAsia="zh-CN"/>
              </w:rPr>
              <w:t>269 500 000</w:t>
            </w:r>
          </w:p>
        </w:tc>
      </w:tr>
    </w:tbl>
    <w:p w:rsidR="006D0E12" w:rsidRDefault="006D0E12" w:rsidP="008A5FFC"/>
    <w:p w:rsidR="0079248C" w:rsidRDefault="0079248C" w:rsidP="008A5FFC"/>
    <w:p w:rsidR="0079248C" w:rsidRDefault="0079248C" w:rsidP="008A5FFC"/>
    <w:p w:rsidR="00F02DA0" w:rsidRDefault="00F02DA0" w:rsidP="008A5FFC">
      <w:pPr>
        <w:sectPr w:rsidR="00F02DA0" w:rsidSect="006D0E12">
          <w:pgSz w:w="16838" w:h="11906" w:orient="landscape"/>
          <w:pgMar w:top="1701" w:right="1134" w:bottom="851" w:left="1134" w:header="709" w:footer="709" w:gutter="0"/>
          <w:cols w:space="708"/>
          <w:docGrid w:linePitch="360"/>
        </w:sectPr>
      </w:pPr>
    </w:p>
    <w:p w:rsidR="0079248C" w:rsidRDefault="00F02DA0" w:rsidP="008A5FFC">
      <w:r>
        <w:t xml:space="preserve">Помимо приведенных расходов также необходимо будет производить амортизационные отчисления и производить налоговые платежи, так как здание перейдет в частную собственность. Также следует учитывать текущий ремонт. </w:t>
      </w:r>
    </w:p>
    <w:p w:rsidR="00F02DA0" w:rsidRDefault="00F02DA0" w:rsidP="00F02DA0">
      <w:r>
        <w:t xml:space="preserve">Как мы видим при постепенном ремонте потребность в инвестициях в целом растет, но снижается объем ежегодных финансовых вливаний. Минимальные вложения в первый год составят около 161 млн </w:t>
      </w:r>
      <w:r w:rsidR="00E51CC8">
        <w:t>рублей.</w:t>
      </w:r>
    </w:p>
    <w:p w:rsidR="00A7426E" w:rsidRDefault="00A7426E" w:rsidP="00F02DA0">
      <w:pPr>
        <w:pStyle w:val="2"/>
      </w:pPr>
      <w:r>
        <w:t xml:space="preserve">2.3. Инвестиционная привлекательность проекта </w:t>
      </w:r>
    </w:p>
    <w:p w:rsidR="00E51CC8" w:rsidRDefault="00F02DA0" w:rsidP="00E51CC8">
      <w:r>
        <w:t xml:space="preserve">Так как сумма инвестиций в первый год составит от 161 до </w:t>
      </w:r>
      <w:r w:rsidR="00E51CC8">
        <w:t xml:space="preserve">262 млн рублей проект отнесем к разряду требующих крупных инвестиций. Для таких проектов инвесторами чаще всего выступают крупные коммерческие организации, так как обладают достаточным количеством свободных денежных средств. </w:t>
      </w:r>
    </w:p>
    <w:p w:rsidR="00E51CC8" w:rsidRDefault="00E51CC8" w:rsidP="00E51CC8">
      <w:r>
        <w:t>Даже при наличии потенциальных инвесторов бизнес должен окупаться и приносить доход. Рассмотрим при каких доходах от аренды срок окупаемости проекта будет удовлетворительным. Стоимость аренды берется сразу в качестве прибыли по каждому арендатору за вычетом расходов на заработную плату персоналу, текущий ремонт и коммунальные платежи.</w:t>
      </w:r>
    </w:p>
    <w:p w:rsidR="00E51CC8" w:rsidRDefault="00E51CC8" w:rsidP="00E51CC8">
      <w:r>
        <w:t>На данный момент имеет всего три арендатора, которые платят арендную плату (таблица 2.3.1).</w:t>
      </w:r>
    </w:p>
    <w:p w:rsidR="00F7343B" w:rsidRDefault="00F7343B" w:rsidP="00E51CC8">
      <w:r>
        <w:t>Следует учитывать, что район спальный и спроса со стороны крупных фирм ожидать не стоит. Мелкие же организации не готовы платить чрезмерно высокую арендную плату, так как район нельзя назвать престижным, он не имеет высокой транспортной доступности, удален от центра. В этой связи исходя из цен на аренду коммерческой недвижимости в данном районе и аналогичной недвижимости в других районах следует ожидать прибыль от 350 до 500 рублей с каждого арендуемого метра площади.</w:t>
      </w:r>
    </w:p>
    <w:p w:rsidR="00C9290F" w:rsidRDefault="00C9290F" w:rsidP="00E51CC8"/>
    <w:p w:rsidR="00C9290F" w:rsidRDefault="00C9290F" w:rsidP="00E51CC8"/>
    <w:p w:rsidR="00C9290F" w:rsidRDefault="00C9290F" w:rsidP="00E51CC8"/>
    <w:p w:rsidR="00E51CC8" w:rsidRDefault="00E51CC8" w:rsidP="00E51CC8">
      <w:pPr>
        <w:pStyle w:val="ad"/>
      </w:pPr>
      <w:r>
        <w:t>Таблица 2.3.1</w:t>
      </w:r>
    </w:p>
    <w:p w:rsidR="00E51CC8" w:rsidRDefault="00E51CC8" w:rsidP="00E51CC8">
      <w:pPr>
        <w:pStyle w:val="ae"/>
      </w:pPr>
      <w:r>
        <w:t>Расчет поступлений от арендаторов</w:t>
      </w:r>
    </w:p>
    <w:tbl>
      <w:tblPr>
        <w:tblW w:w="5000" w:type="pct"/>
        <w:tblLook w:val="04A0" w:firstRow="1" w:lastRow="0" w:firstColumn="1" w:lastColumn="0" w:noHBand="0" w:noVBand="1"/>
      </w:tblPr>
      <w:tblGrid>
        <w:gridCol w:w="3207"/>
        <w:gridCol w:w="1277"/>
        <w:gridCol w:w="850"/>
        <w:gridCol w:w="1453"/>
        <w:gridCol w:w="1292"/>
        <w:gridCol w:w="1491"/>
      </w:tblGrid>
      <w:tr w:rsidR="00E51CC8" w:rsidRPr="00E51CC8" w:rsidTr="00E51CC8">
        <w:trPr>
          <w:trHeight w:val="945"/>
        </w:trPr>
        <w:tc>
          <w:tcPr>
            <w:tcW w:w="16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Показатель</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Значение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Ед. изм.</w:t>
            </w:r>
          </w:p>
        </w:tc>
        <w:tc>
          <w:tcPr>
            <w:tcW w:w="7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Стоимость аренды за кв.м.</w:t>
            </w:r>
          </w:p>
        </w:tc>
        <w:tc>
          <w:tcPr>
            <w:tcW w:w="1454" w:type="pct"/>
            <w:gridSpan w:val="2"/>
            <w:tcBorders>
              <w:top w:val="single" w:sz="4" w:space="0" w:color="auto"/>
              <w:left w:val="nil"/>
              <w:bottom w:val="single" w:sz="4" w:space="0" w:color="auto"/>
              <w:right w:val="single" w:sz="4" w:space="0" w:color="auto"/>
            </w:tcBorders>
            <w:shd w:val="clear" w:color="auto" w:fill="auto"/>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 xml:space="preserve">Сумма поступлений от аренды </w:t>
            </w:r>
          </w:p>
        </w:tc>
      </w:tr>
      <w:tr w:rsidR="00E51CC8" w:rsidRPr="00E51CC8" w:rsidTr="00E51CC8">
        <w:trPr>
          <w:trHeight w:val="315"/>
        </w:trPr>
        <w:tc>
          <w:tcPr>
            <w:tcW w:w="16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p>
        </w:tc>
        <w:tc>
          <w:tcPr>
            <w:tcW w:w="7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p>
        </w:tc>
        <w:tc>
          <w:tcPr>
            <w:tcW w:w="675" w:type="pct"/>
            <w:tcBorders>
              <w:top w:val="nil"/>
              <w:left w:val="nil"/>
              <w:bottom w:val="single" w:sz="4" w:space="0" w:color="auto"/>
              <w:right w:val="single" w:sz="4" w:space="0" w:color="auto"/>
            </w:tcBorders>
            <w:shd w:val="clear" w:color="auto" w:fill="auto"/>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Месяц</w:t>
            </w:r>
          </w:p>
        </w:tc>
        <w:tc>
          <w:tcPr>
            <w:tcW w:w="779" w:type="pct"/>
            <w:tcBorders>
              <w:top w:val="nil"/>
              <w:left w:val="nil"/>
              <w:bottom w:val="single" w:sz="4" w:space="0" w:color="auto"/>
              <w:right w:val="single" w:sz="4" w:space="0" w:color="auto"/>
            </w:tcBorders>
            <w:shd w:val="clear" w:color="auto" w:fill="auto"/>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год</w:t>
            </w:r>
          </w:p>
        </w:tc>
      </w:tr>
      <w:tr w:rsidR="00E51CC8" w:rsidRPr="00E51CC8" w:rsidTr="00E51CC8">
        <w:trPr>
          <w:trHeight w:val="315"/>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r w:rsidRPr="00E51CC8">
              <w:rPr>
                <w:rFonts w:eastAsia="Times New Roman" w:cs="Times New Roman"/>
                <w:color w:val="000000"/>
                <w:sz w:val="24"/>
                <w:szCs w:val="24"/>
                <w:lang w:eastAsia="zh-CN"/>
              </w:rPr>
              <w:t>Аренда:</w:t>
            </w:r>
          </w:p>
        </w:tc>
        <w:tc>
          <w:tcPr>
            <w:tcW w:w="667"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350,9</w:t>
            </w:r>
          </w:p>
        </w:tc>
        <w:tc>
          <w:tcPr>
            <w:tcW w:w="444" w:type="pct"/>
            <w:tcBorders>
              <w:top w:val="nil"/>
              <w:left w:val="nil"/>
              <w:bottom w:val="single" w:sz="4" w:space="0" w:color="auto"/>
              <w:right w:val="single" w:sz="4" w:space="0" w:color="auto"/>
            </w:tcBorders>
            <w:shd w:val="clear" w:color="auto" w:fill="auto"/>
            <w:noWrap/>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кв.м</w:t>
            </w:r>
          </w:p>
        </w:tc>
        <w:tc>
          <w:tcPr>
            <w:tcW w:w="759"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r w:rsidRPr="00E51CC8">
              <w:rPr>
                <w:rFonts w:eastAsia="Times New Roman" w:cs="Times New Roman"/>
                <w:color w:val="000000"/>
                <w:sz w:val="24"/>
                <w:szCs w:val="24"/>
                <w:lang w:eastAsia="zh-CN"/>
              </w:rPr>
              <w:t> </w:t>
            </w:r>
          </w:p>
        </w:tc>
        <w:tc>
          <w:tcPr>
            <w:tcW w:w="675"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r w:rsidRPr="00E51CC8">
              <w:rPr>
                <w:rFonts w:eastAsia="Times New Roman" w:cs="Times New Roman"/>
                <w:color w:val="000000"/>
                <w:sz w:val="24"/>
                <w:szCs w:val="24"/>
                <w:lang w:eastAsia="zh-CN"/>
              </w:rPr>
              <w:t> </w:t>
            </w:r>
          </w:p>
        </w:tc>
        <w:tc>
          <w:tcPr>
            <w:tcW w:w="779"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r w:rsidRPr="00E51CC8">
              <w:rPr>
                <w:rFonts w:eastAsia="Times New Roman" w:cs="Times New Roman"/>
                <w:color w:val="000000"/>
                <w:sz w:val="24"/>
                <w:szCs w:val="24"/>
                <w:lang w:eastAsia="zh-CN"/>
              </w:rPr>
              <w:t> </w:t>
            </w:r>
          </w:p>
        </w:tc>
      </w:tr>
      <w:tr w:rsidR="00E51CC8" w:rsidRPr="00E51CC8" w:rsidTr="00E51CC8">
        <w:trPr>
          <w:trHeight w:val="315"/>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Общество Ветеранов</w:t>
            </w:r>
          </w:p>
        </w:tc>
        <w:tc>
          <w:tcPr>
            <w:tcW w:w="667"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68,9</w:t>
            </w:r>
          </w:p>
        </w:tc>
        <w:tc>
          <w:tcPr>
            <w:tcW w:w="444" w:type="pct"/>
            <w:tcBorders>
              <w:top w:val="nil"/>
              <w:left w:val="nil"/>
              <w:bottom w:val="single" w:sz="4" w:space="0" w:color="auto"/>
              <w:right w:val="single" w:sz="4" w:space="0" w:color="auto"/>
            </w:tcBorders>
            <w:shd w:val="clear" w:color="auto" w:fill="auto"/>
            <w:noWrap/>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кв.м</w:t>
            </w:r>
          </w:p>
        </w:tc>
        <w:tc>
          <w:tcPr>
            <w:tcW w:w="759"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r w:rsidRPr="00E51CC8">
              <w:rPr>
                <w:rFonts w:eastAsia="Times New Roman" w:cs="Times New Roman"/>
                <w:color w:val="000000"/>
                <w:sz w:val="24"/>
                <w:szCs w:val="24"/>
                <w:lang w:eastAsia="zh-CN"/>
              </w:rPr>
              <w:t> </w:t>
            </w:r>
          </w:p>
        </w:tc>
        <w:tc>
          <w:tcPr>
            <w:tcW w:w="675"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r w:rsidRPr="00E51CC8">
              <w:rPr>
                <w:rFonts w:eastAsia="Times New Roman" w:cs="Times New Roman"/>
                <w:color w:val="000000"/>
                <w:sz w:val="24"/>
                <w:szCs w:val="24"/>
                <w:lang w:eastAsia="zh-CN"/>
              </w:rPr>
              <w:t> </w:t>
            </w:r>
          </w:p>
        </w:tc>
        <w:tc>
          <w:tcPr>
            <w:tcW w:w="779"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r w:rsidRPr="00E51CC8">
              <w:rPr>
                <w:rFonts w:eastAsia="Times New Roman" w:cs="Times New Roman"/>
                <w:color w:val="000000"/>
                <w:sz w:val="24"/>
                <w:szCs w:val="24"/>
                <w:lang w:eastAsia="zh-CN"/>
              </w:rPr>
              <w:t> </w:t>
            </w:r>
          </w:p>
        </w:tc>
      </w:tr>
      <w:tr w:rsidR="00E51CC8" w:rsidRPr="00E51CC8" w:rsidTr="00E51CC8">
        <w:trPr>
          <w:trHeight w:val="315"/>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Стомотология</w:t>
            </w:r>
          </w:p>
        </w:tc>
        <w:tc>
          <w:tcPr>
            <w:tcW w:w="667"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28,7</w:t>
            </w:r>
          </w:p>
        </w:tc>
        <w:tc>
          <w:tcPr>
            <w:tcW w:w="444" w:type="pct"/>
            <w:tcBorders>
              <w:top w:val="nil"/>
              <w:left w:val="nil"/>
              <w:bottom w:val="single" w:sz="4" w:space="0" w:color="auto"/>
              <w:right w:val="single" w:sz="4" w:space="0" w:color="auto"/>
            </w:tcBorders>
            <w:shd w:val="clear" w:color="auto" w:fill="auto"/>
            <w:noWrap/>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кв.м</w:t>
            </w:r>
          </w:p>
        </w:tc>
        <w:tc>
          <w:tcPr>
            <w:tcW w:w="759"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500,0</w:t>
            </w:r>
          </w:p>
        </w:tc>
        <w:tc>
          <w:tcPr>
            <w:tcW w:w="675"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14 365,0</w:t>
            </w:r>
          </w:p>
        </w:tc>
        <w:tc>
          <w:tcPr>
            <w:tcW w:w="779"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172 380,0</w:t>
            </w:r>
          </w:p>
        </w:tc>
      </w:tr>
      <w:tr w:rsidR="00E51CC8" w:rsidRPr="00E51CC8" w:rsidTr="00E51CC8">
        <w:trPr>
          <w:trHeight w:val="315"/>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Стомотология</w:t>
            </w:r>
          </w:p>
        </w:tc>
        <w:tc>
          <w:tcPr>
            <w:tcW w:w="667"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68,3</w:t>
            </w:r>
          </w:p>
        </w:tc>
        <w:tc>
          <w:tcPr>
            <w:tcW w:w="444" w:type="pct"/>
            <w:tcBorders>
              <w:top w:val="nil"/>
              <w:left w:val="nil"/>
              <w:bottom w:val="single" w:sz="4" w:space="0" w:color="auto"/>
              <w:right w:val="single" w:sz="4" w:space="0" w:color="auto"/>
            </w:tcBorders>
            <w:shd w:val="clear" w:color="auto" w:fill="auto"/>
            <w:noWrap/>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кв.м</w:t>
            </w:r>
          </w:p>
        </w:tc>
        <w:tc>
          <w:tcPr>
            <w:tcW w:w="759"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500,0</w:t>
            </w:r>
          </w:p>
        </w:tc>
        <w:tc>
          <w:tcPr>
            <w:tcW w:w="675"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34 135,0</w:t>
            </w:r>
          </w:p>
        </w:tc>
        <w:tc>
          <w:tcPr>
            <w:tcW w:w="779"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409 620,0</w:t>
            </w:r>
          </w:p>
        </w:tc>
      </w:tr>
      <w:tr w:rsidR="00E51CC8" w:rsidRPr="00E51CC8" w:rsidTr="00E51CC8">
        <w:trPr>
          <w:trHeight w:val="315"/>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Швейное производство</w:t>
            </w:r>
          </w:p>
        </w:tc>
        <w:tc>
          <w:tcPr>
            <w:tcW w:w="667"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185,0</w:t>
            </w:r>
          </w:p>
        </w:tc>
        <w:tc>
          <w:tcPr>
            <w:tcW w:w="444" w:type="pct"/>
            <w:tcBorders>
              <w:top w:val="nil"/>
              <w:left w:val="nil"/>
              <w:bottom w:val="single" w:sz="4" w:space="0" w:color="auto"/>
              <w:right w:val="single" w:sz="4" w:space="0" w:color="auto"/>
            </w:tcBorders>
            <w:shd w:val="clear" w:color="auto" w:fill="auto"/>
            <w:noWrap/>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кв.м</w:t>
            </w:r>
          </w:p>
        </w:tc>
        <w:tc>
          <w:tcPr>
            <w:tcW w:w="759"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500,0</w:t>
            </w:r>
          </w:p>
        </w:tc>
        <w:tc>
          <w:tcPr>
            <w:tcW w:w="675"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92 500,0</w:t>
            </w:r>
          </w:p>
        </w:tc>
        <w:tc>
          <w:tcPr>
            <w:tcW w:w="779"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1 110 000,0</w:t>
            </w:r>
          </w:p>
        </w:tc>
      </w:tr>
      <w:tr w:rsidR="00E51CC8" w:rsidRPr="00E51CC8" w:rsidTr="00E51CC8">
        <w:trPr>
          <w:trHeight w:val="315"/>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r w:rsidRPr="00E51CC8">
              <w:rPr>
                <w:rFonts w:eastAsia="Times New Roman" w:cs="Times New Roman"/>
                <w:color w:val="000000"/>
                <w:sz w:val="24"/>
                <w:szCs w:val="24"/>
                <w:lang w:eastAsia="zh-CN"/>
              </w:rPr>
              <w:t>Приносящая доход аренда</w:t>
            </w:r>
          </w:p>
        </w:tc>
        <w:tc>
          <w:tcPr>
            <w:tcW w:w="667"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282,0</w:t>
            </w:r>
          </w:p>
        </w:tc>
        <w:tc>
          <w:tcPr>
            <w:tcW w:w="444" w:type="pct"/>
            <w:tcBorders>
              <w:top w:val="nil"/>
              <w:left w:val="nil"/>
              <w:bottom w:val="single" w:sz="4" w:space="0" w:color="auto"/>
              <w:right w:val="single" w:sz="4" w:space="0" w:color="auto"/>
            </w:tcBorders>
            <w:shd w:val="clear" w:color="auto" w:fill="auto"/>
            <w:noWrap/>
            <w:vAlign w:val="center"/>
            <w:hideMark/>
          </w:tcPr>
          <w:p w:rsidR="00E51CC8" w:rsidRPr="00E51CC8" w:rsidRDefault="00E51CC8" w:rsidP="00E51CC8">
            <w:pPr>
              <w:spacing w:line="240" w:lineRule="auto"/>
              <w:ind w:firstLine="0"/>
              <w:jc w:val="center"/>
              <w:rPr>
                <w:rFonts w:eastAsia="Times New Roman" w:cs="Times New Roman"/>
                <w:color w:val="000000"/>
                <w:sz w:val="24"/>
                <w:szCs w:val="24"/>
                <w:lang w:eastAsia="zh-CN"/>
              </w:rPr>
            </w:pPr>
            <w:r w:rsidRPr="00E51CC8">
              <w:rPr>
                <w:rFonts w:eastAsia="Times New Roman" w:cs="Times New Roman"/>
                <w:color w:val="000000"/>
                <w:sz w:val="24"/>
                <w:szCs w:val="24"/>
                <w:lang w:eastAsia="zh-CN"/>
              </w:rPr>
              <w:t>кв.м</w:t>
            </w:r>
          </w:p>
        </w:tc>
        <w:tc>
          <w:tcPr>
            <w:tcW w:w="759"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left"/>
              <w:rPr>
                <w:rFonts w:eastAsia="Times New Roman" w:cs="Times New Roman"/>
                <w:color w:val="000000"/>
                <w:sz w:val="24"/>
                <w:szCs w:val="24"/>
                <w:lang w:eastAsia="zh-CN"/>
              </w:rPr>
            </w:pPr>
            <w:r w:rsidRPr="00E51CC8">
              <w:rPr>
                <w:rFonts w:eastAsia="Times New Roman" w:cs="Times New Roman"/>
                <w:color w:val="000000"/>
                <w:sz w:val="24"/>
                <w:szCs w:val="24"/>
                <w:lang w:eastAsia="zh-CN"/>
              </w:rPr>
              <w:t> </w:t>
            </w:r>
          </w:p>
        </w:tc>
        <w:tc>
          <w:tcPr>
            <w:tcW w:w="675" w:type="pct"/>
            <w:tcBorders>
              <w:top w:val="nil"/>
              <w:left w:val="nil"/>
              <w:bottom w:val="single" w:sz="4" w:space="0" w:color="auto"/>
              <w:right w:val="single" w:sz="4" w:space="0" w:color="auto"/>
            </w:tcBorders>
            <w:shd w:val="clear" w:color="auto" w:fill="auto"/>
            <w:noWrap/>
            <w:vAlign w:val="bottom"/>
            <w:hideMark/>
          </w:tcPr>
          <w:p w:rsidR="00E51CC8" w:rsidRPr="00E51CC8" w:rsidRDefault="00E51CC8" w:rsidP="00E51CC8">
            <w:pPr>
              <w:spacing w:line="240" w:lineRule="auto"/>
              <w:ind w:firstLine="0"/>
              <w:jc w:val="right"/>
              <w:rPr>
                <w:rFonts w:eastAsia="Times New Roman" w:cs="Times New Roman"/>
                <w:color w:val="000000"/>
                <w:sz w:val="24"/>
                <w:szCs w:val="24"/>
                <w:lang w:eastAsia="zh-CN"/>
              </w:rPr>
            </w:pPr>
            <w:r w:rsidRPr="00E51CC8">
              <w:rPr>
                <w:rFonts w:eastAsia="Times New Roman" w:cs="Times New Roman"/>
                <w:color w:val="000000"/>
                <w:sz w:val="24"/>
                <w:szCs w:val="24"/>
                <w:lang w:eastAsia="zh-CN"/>
              </w:rPr>
              <w:t>141 000,0</w:t>
            </w:r>
          </w:p>
        </w:tc>
        <w:tc>
          <w:tcPr>
            <w:tcW w:w="779" w:type="pct"/>
            <w:tcBorders>
              <w:top w:val="nil"/>
              <w:left w:val="nil"/>
              <w:bottom w:val="single" w:sz="4" w:space="0" w:color="auto"/>
              <w:right w:val="single" w:sz="4" w:space="0" w:color="auto"/>
            </w:tcBorders>
            <w:shd w:val="clear" w:color="auto" w:fill="auto"/>
            <w:noWrap/>
            <w:vAlign w:val="bottom"/>
            <w:hideMark/>
          </w:tcPr>
          <w:p w:rsidR="00E51CC8" w:rsidRPr="00F7343B" w:rsidRDefault="00E51CC8" w:rsidP="00E51CC8">
            <w:pPr>
              <w:spacing w:line="240" w:lineRule="auto"/>
              <w:ind w:firstLine="0"/>
              <w:jc w:val="right"/>
              <w:rPr>
                <w:rFonts w:eastAsia="Times New Roman" w:cs="Times New Roman"/>
                <w:b/>
                <w:color w:val="000000"/>
                <w:sz w:val="24"/>
                <w:szCs w:val="24"/>
                <w:lang w:eastAsia="zh-CN"/>
              </w:rPr>
            </w:pPr>
            <w:r w:rsidRPr="00F7343B">
              <w:rPr>
                <w:rFonts w:eastAsia="Times New Roman" w:cs="Times New Roman"/>
                <w:b/>
                <w:color w:val="000000"/>
                <w:sz w:val="24"/>
                <w:szCs w:val="24"/>
                <w:lang w:eastAsia="zh-CN"/>
              </w:rPr>
              <w:t>1 692 000,0</w:t>
            </w:r>
          </w:p>
        </w:tc>
      </w:tr>
    </w:tbl>
    <w:p w:rsidR="00E51CC8" w:rsidRDefault="00E51CC8" w:rsidP="00E51CC8"/>
    <w:p w:rsidR="00E51CC8" w:rsidRDefault="00F7343B" w:rsidP="00177827">
      <w:r>
        <w:t xml:space="preserve">При таких суммах поступлений проект окупиться лишь через 155 лет. </w:t>
      </w:r>
    </w:p>
    <w:p w:rsidR="00F7343B" w:rsidRDefault="00F7343B" w:rsidP="00177827">
      <w:r>
        <w:t>Чтобы срок окупаемости не превышал 20 лет необходимо либо сдавать в аренду по стоимости 500 рублей за метр более 20 тыс</w:t>
      </w:r>
      <w:r w:rsidR="00177827">
        <w:t>.</w:t>
      </w:r>
      <w:r>
        <w:t xml:space="preserve"> кв</w:t>
      </w:r>
      <w:r w:rsidR="00177827">
        <w:t>.</w:t>
      </w:r>
      <w:r>
        <w:t xml:space="preserve"> метров площади, которыми здание не располагает. </w:t>
      </w:r>
      <w:r w:rsidRPr="00177827">
        <w:t>Либо стоимость аренды должна составлять 2</w:t>
      </w:r>
      <w:r w:rsidR="00177827">
        <w:t xml:space="preserve"> </w:t>
      </w:r>
      <w:r w:rsidRPr="00177827">
        <w:t>665 рублей за кв</w:t>
      </w:r>
      <w:r w:rsidR="00177827">
        <w:t>.</w:t>
      </w:r>
      <w:r w:rsidRPr="00177827">
        <w:t xml:space="preserve"> метр, учитывая, что все 4 912,2 кв. м площади будут сданы в аренду.</w:t>
      </w:r>
    </w:p>
    <w:p w:rsidR="00177827" w:rsidRDefault="00177827" w:rsidP="00177827">
      <w:pPr>
        <w:spacing w:line="240" w:lineRule="auto"/>
        <w:ind w:firstLine="0"/>
        <w:jc w:val="center"/>
      </w:pPr>
      <w:r>
        <w:t xml:space="preserve">4 912,2 * 2 665 = </w:t>
      </w:r>
      <w:r w:rsidRPr="00177827">
        <w:rPr>
          <w:rFonts w:eastAsiaTheme="minorHAnsi"/>
        </w:rPr>
        <w:t>13 095 000 рублей в год</w:t>
      </w:r>
    </w:p>
    <w:p w:rsidR="00177827" w:rsidRDefault="00177827" w:rsidP="00177827">
      <w:pPr>
        <w:spacing w:line="240" w:lineRule="auto"/>
        <w:ind w:firstLine="0"/>
        <w:jc w:val="center"/>
      </w:pPr>
    </w:p>
    <w:p w:rsidR="00177827" w:rsidRPr="00177827" w:rsidRDefault="00177827" w:rsidP="00177827">
      <w:pPr>
        <w:spacing w:line="240" w:lineRule="auto"/>
        <w:ind w:firstLine="0"/>
        <w:jc w:val="center"/>
        <w:rPr>
          <w:rFonts w:eastAsiaTheme="minorHAnsi"/>
        </w:rPr>
      </w:pPr>
      <w:r>
        <w:t xml:space="preserve">261 900 000 / </w:t>
      </w:r>
      <w:r w:rsidRPr="00177827">
        <w:rPr>
          <w:rFonts w:eastAsiaTheme="minorHAnsi"/>
        </w:rPr>
        <w:t>13 095</w:t>
      </w:r>
      <w:r>
        <w:t> </w:t>
      </w:r>
      <w:r w:rsidRPr="00177827">
        <w:rPr>
          <w:rFonts w:eastAsiaTheme="minorHAnsi"/>
        </w:rPr>
        <w:t>000</w:t>
      </w:r>
      <w:r w:rsidRPr="00177827">
        <w:rPr>
          <w:rFonts w:eastAsiaTheme="minorHAnsi"/>
        </w:rPr>
        <w:t xml:space="preserve"> = 20 лет.</w:t>
      </w:r>
    </w:p>
    <w:p w:rsidR="00177827" w:rsidRDefault="00177827" w:rsidP="00177827">
      <w:pPr>
        <w:spacing w:line="240" w:lineRule="auto"/>
        <w:ind w:firstLine="0"/>
        <w:jc w:val="center"/>
        <w:rPr>
          <w:rFonts w:eastAsia="Times New Roman" w:cs="Times New Roman"/>
          <w:color w:val="000000"/>
          <w:sz w:val="24"/>
          <w:szCs w:val="24"/>
          <w:lang w:eastAsia="zh-CN"/>
        </w:rPr>
      </w:pPr>
    </w:p>
    <w:p w:rsidR="00177827" w:rsidRDefault="00177827" w:rsidP="00177827">
      <w:r>
        <w:t xml:space="preserve">При таких ценах стоимость аренды помещения под стоматологию в месяц будет составлять 28* 2 665 = </w:t>
      </w:r>
      <w:r w:rsidRPr="00177827">
        <w:t>74642,73</w:t>
      </w:r>
      <w:r>
        <w:t xml:space="preserve"> рублей в месяц. Очевидно, что найти арендаторов, готовых снимать помещения за такую сумму в данном районе будет крайне сложно. При этом вероятность, что удастся сдать в аренду все помещений также низка. В данных расчетах учитывается простой срок окупаемости без учета инфляции, игнорируются определенные статьи расходов по операционной деятельности. Очевидно, что фактически срок окупаемости даже при такой стоимости аренды будет значительно выше. </w:t>
      </w:r>
    </w:p>
    <w:p w:rsidR="00A7426E" w:rsidRDefault="005541ED" w:rsidP="005541ED">
      <w:pPr>
        <w:pStyle w:val="1"/>
      </w:pPr>
      <w:r>
        <w:t>3. Организация молодежного центра на базе Дома культуры</w:t>
      </w:r>
    </w:p>
    <w:p w:rsidR="0088579F" w:rsidRDefault="0088579F" w:rsidP="005541ED">
      <w:pPr>
        <w:pStyle w:val="2"/>
      </w:pPr>
      <w:r>
        <w:t>3.1. Перспективы создания молодежного центра</w:t>
      </w:r>
    </w:p>
    <w:p w:rsidR="0088579F" w:rsidRDefault="0088579F" w:rsidP="0088579F">
      <w:r>
        <w:t xml:space="preserve">На базе бывшего Дома культуру меланжевого комбината ДЮЦ №1 предлагает разместить региональный молодежный центр, занимающийся организацией дополнительного образования молодежи различных возрастов, а также организацией различных секций, кружков и развитием молодежных движений. </w:t>
      </w:r>
    </w:p>
    <w:p w:rsidR="0088579F" w:rsidRDefault="0088579F" w:rsidP="0088579F">
      <w:r>
        <w:t>Советский район, в котором расположен рассматриваемый объект, является территориально удалённым от центра города. Как уже было сказано, в районе нет детско-юношеских центров, центров развития молодежи, центров дополнительного образования, художественных школ, мастерских и т.д. Досугом молодежи в возрасте от 4 до 16 лет занимаются только школы и детские сады, помимо основной образовательной функции.</w:t>
      </w:r>
    </w:p>
    <w:p w:rsidR="0088579F" w:rsidRDefault="0088579F" w:rsidP="0088579F">
      <w:r>
        <w:t>Наличие большого количества школ и де</w:t>
      </w:r>
      <w:r w:rsidR="0048588A">
        <w:t>т</w:t>
      </w:r>
      <w:r>
        <w:t xml:space="preserve">ских садов в </w:t>
      </w:r>
      <w:r w:rsidR="0048588A">
        <w:t>близлежащий</w:t>
      </w:r>
      <w:r>
        <w:t xml:space="preserve"> кварталах от здания ДК делает его удобным для проведения молодежных мероприятий и организации дополнительного </w:t>
      </w:r>
      <w:r w:rsidR="0048588A">
        <w:t>образования</w:t>
      </w:r>
      <w:r>
        <w:t xml:space="preserve">. </w:t>
      </w:r>
      <w:r w:rsidR="0048588A">
        <w:t xml:space="preserve">Так как на рынке данного района конкуренция отсутствует, а для родителей одним из определяющих факторов является территориальная доступность места проведения занятий, следует ожидать повышенный спрос на дошкольные образовательные услуги. </w:t>
      </w:r>
    </w:p>
    <w:p w:rsidR="0048588A" w:rsidRDefault="0048588A" w:rsidP="0088579F">
      <w:r>
        <w:t xml:space="preserve">Немаловажным фактором также является хорошая репутация ДЮЦ№1 как ведущего учреждения, занимающегося организацией детской и молодежной активности в области. </w:t>
      </w:r>
    </w:p>
    <w:p w:rsidR="0048588A" w:rsidRDefault="0048588A" w:rsidP="0088579F">
      <w:r>
        <w:t>Также стоит отметить, что здания раньше являлось домом культуры и внутренняя конфигурация помещений, как указано в пункте 1.1, отлично подходит для организации внутри них учебных классов и кабинетов. При этом не потребует реконструкция внутренних помещений, лишь ремонт и отделка.</w:t>
      </w:r>
    </w:p>
    <w:p w:rsidR="0048588A" w:rsidRDefault="0048588A" w:rsidP="0088579F">
      <w:r>
        <w:t>ДЮЦ№1 предлагает передать в оперативное управление здание ДК меланжевого комбината. В течении периода с 2018 по 2022 год будет производиться постепенный ремонт помещений. Организаций располагает свободными небюджетными средствами, которые возможно пустить на реконструкцию и ремонт здания.</w:t>
      </w:r>
    </w:p>
    <w:p w:rsidR="0048588A" w:rsidRDefault="0048588A" w:rsidP="0088579F">
      <w:r>
        <w:t xml:space="preserve">Предполагается в течении первого года ввести в эксплуатацию часть помещений – несколько кабинетов. В которых можно будет начать проводить платные занятия для групп дошкольников, как индивидуальные, так и групповые. </w:t>
      </w:r>
    </w:p>
    <w:p w:rsidR="0048588A" w:rsidRDefault="0048588A" w:rsidP="0088579F">
      <w:r>
        <w:t>После постепенного ремонта актового зала и спортивного зала их также можно будет сдавать в аренду образовательным учреждениям района. Учитывая отсутствие больших залов в данном районе подобная услуга будет востребована находящимися рядом школами, детскими садами, спортивными секциями.</w:t>
      </w:r>
    </w:p>
    <w:p w:rsidR="0048588A" w:rsidRDefault="0048588A" w:rsidP="0088579F">
      <w:r>
        <w:t xml:space="preserve">Таким </w:t>
      </w:r>
      <w:r w:rsidR="00C9290F">
        <w:t>образом</w:t>
      </w:r>
      <w:r>
        <w:t xml:space="preserve">, </w:t>
      </w:r>
      <w:r w:rsidR="00C9290F">
        <w:t>характеристики</w:t>
      </w:r>
      <w:r>
        <w:t xml:space="preserve"> здания полностью подходят для организации внутри него молодежного центра. При этом как уже было выяснено организации каких-либо коммерческих проектов и продажа здания будет вероятнее всего невыгодна инвесторам. Молодежный центр же </w:t>
      </w:r>
      <w:r w:rsidR="00C9290F">
        <w:t>выступает</w:t>
      </w:r>
      <w:r>
        <w:t xml:space="preserve"> как некоммерческая организация, поэтому не требуется быстрая окупаемость и наличие рентабельности. </w:t>
      </w:r>
    </w:p>
    <w:p w:rsidR="0048588A" w:rsidRDefault="0048588A" w:rsidP="0088579F">
      <w:r>
        <w:t>Стоит отметить и тот факт, что ввиду непривлекательности проекта для инвесторов</w:t>
      </w:r>
      <w:r w:rsidR="00C9290F">
        <w:t xml:space="preserve"> городу вероятнее всего не удастся найти покупателей для здания в ближайшие годы. За этот период на оплату коммунальных услуг будет потрачено около 10 млн рублей, при условии, что задние не будет эксплуатироваться. Помещения будут простаивать, а износ расти. Если же разместить в помещениях молодежный центр, то ДЮЦ№1 будет заниматься постепенным ремонтом здания, уменьшая степень износа, а также будет осуществлять текущий ремонт. Это затормозит старение здания и снизит потребность в инвестициях в будущем.</w:t>
      </w:r>
    </w:p>
    <w:p w:rsidR="005541ED" w:rsidRDefault="0088579F" w:rsidP="005541ED">
      <w:pPr>
        <w:pStyle w:val="2"/>
      </w:pPr>
      <w:r>
        <w:t>3.2</w:t>
      </w:r>
      <w:r w:rsidR="005541ED">
        <w:t>. Определение наличия потребности в дополнительном</w:t>
      </w:r>
    </w:p>
    <w:p w:rsidR="005541ED" w:rsidRDefault="005541ED" w:rsidP="005541ED">
      <w:pPr>
        <w:pStyle w:val="2"/>
      </w:pPr>
      <w:r>
        <w:t>дошкольном образовании</w:t>
      </w:r>
    </w:p>
    <w:p w:rsidR="005541ED" w:rsidRDefault="00C25305" w:rsidP="005541ED">
      <w:r>
        <w:t>Платные образовательные услуги охватывают детей в возрасте от 4 до 7 лет, проживающих в городе Иваново. В этой связи для определения наличия потребности в данных услугах необходимо пронаблюдать демографическую ситуацию в городе Иваново по данной возрастной группе.</w:t>
      </w:r>
    </w:p>
    <w:p w:rsidR="00AB4327" w:rsidRDefault="00C25305" w:rsidP="00363578">
      <w:r>
        <w:t xml:space="preserve">В целом численность городского населения падает, однако в городе Иваново остается на одном уровне в 408-409 тыс. человек. </w:t>
      </w:r>
      <w:r w:rsidR="00AB4327">
        <w:t>Численность детей в возрасте от 4 до 7 лет составляет порядка 4,5% от общей численности городского населения. Прирост в период с 2010 по 2016 год составил порядка 700 человек.</w:t>
      </w:r>
    </w:p>
    <w:p w:rsidR="00AB4327" w:rsidRDefault="00AB4327" w:rsidP="00363578">
      <w:r>
        <w:t xml:space="preserve">В расчетный период с 2018 по 2022 год </w:t>
      </w:r>
      <w:r w:rsidR="00B55F56">
        <w:t xml:space="preserve">потребителями услуг будут являться дети, родившиеся в период с 2011 по 2019 год. </w:t>
      </w:r>
      <w:r w:rsidR="00C510E6">
        <w:t>Рождаемость в период с 2011 по 2016</w:t>
      </w:r>
      <w:r w:rsidR="00181C83">
        <w:t xml:space="preserve"> остается достаточно стабильной, как можно видеть из данных таблицы</w:t>
      </w:r>
      <w:r w:rsidR="005541ED">
        <w:t xml:space="preserve"> 3.1.1.</w:t>
      </w:r>
    </w:p>
    <w:p w:rsidR="00C510E6" w:rsidRDefault="00C510E6" w:rsidP="005541ED">
      <w:pPr>
        <w:pStyle w:val="ad"/>
      </w:pPr>
      <w:r>
        <w:t>Таблица</w:t>
      </w:r>
      <w:r w:rsidR="005C2E51">
        <w:t xml:space="preserve"> 3.2</w:t>
      </w:r>
      <w:r w:rsidR="005541ED">
        <w:t>.1.</w:t>
      </w:r>
    </w:p>
    <w:p w:rsidR="00C510E6" w:rsidRDefault="00C510E6" w:rsidP="005541ED">
      <w:pPr>
        <w:pStyle w:val="ae"/>
      </w:pPr>
      <w:r>
        <w:t>Рождаемость в Ивановской области</w:t>
      </w:r>
    </w:p>
    <w:tbl>
      <w:tblPr>
        <w:tblW w:w="5000" w:type="pct"/>
        <w:tblLook w:val="04A0" w:firstRow="1" w:lastRow="0" w:firstColumn="1" w:lastColumn="0" w:noHBand="0" w:noVBand="1"/>
      </w:tblPr>
      <w:tblGrid>
        <w:gridCol w:w="3494"/>
        <w:gridCol w:w="1216"/>
        <w:gridCol w:w="1215"/>
        <w:gridCol w:w="1215"/>
        <w:gridCol w:w="1215"/>
        <w:gridCol w:w="1215"/>
      </w:tblGrid>
      <w:tr w:rsidR="00C510E6" w:rsidRPr="00C510E6" w:rsidTr="00D60D24">
        <w:trPr>
          <w:trHeight w:val="300"/>
        </w:trPr>
        <w:tc>
          <w:tcPr>
            <w:tcW w:w="1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0E6" w:rsidRPr="00C510E6" w:rsidRDefault="00C510E6" w:rsidP="00C510E6">
            <w:pPr>
              <w:spacing w:line="240" w:lineRule="auto"/>
              <w:ind w:firstLine="0"/>
              <w:jc w:val="center"/>
              <w:rPr>
                <w:rFonts w:eastAsia="Times New Roman" w:cs="Times New Roman"/>
                <w:color w:val="000000"/>
                <w:sz w:val="22"/>
                <w:lang w:eastAsia="zh-CN"/>
              </w:rPr>
            </w:pPr>
            <w:r w:rsidRPr="00C510E6">
              <w:rPr>
                <w:rFonts w:eastAsia="Times New Roman" w:cs="Times New Roman"/>
                <w:color w:val="000000"/>
                <w:sz w:val="22"/>
                <w:lang w:eastAsia="zh-CN"/>
              </w:rPr>
              <w:t>Показатель</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C510E6" w:rsidRPr="00C510E6" w:rsidRDefault="00C510E6" w:rsidP="00C510E6">
            <w:pPr>
              <w:spacing w:line="240" w:lineRule="auto"/>
              <w:ind w:firstLine="0"/>
              <w:jc w:val="center"/>
              <w:rPr>
                <w:rFonts w:eastAsia="Times New Roman" w:cs="Times New Roman"/>
                <w:color w:val="000000"/>
                <w:sz w:val="22"/>
                <w:lang w:eastAsia="zh-CN"/>
              </w:rPr>
            </w:pPr>
            <w:r w:rsidRPr="00C510E6">
              <w:rPr>
                <w:rFonts w:eastAsia="Times New Roman" w:cs="Times New Roman"/>
                <w:color w:val="000000"/>
                <w:sz w:val="22"/>
                <w:lang w:eastAsia="zh-CN"/>
              </w:rPr>
              <w:t>2012</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C510E6" w:rsidRPr="00C510E6" w:rsidRDefault="00C510E6" w:rsidP="00C510E6">
            <w:pPr>
              <w:spacing w:line="240" w:lineRule="auto"/>
              <w:ind w:firstLine="0"/>
              <w:jc w:val="center"/>
              <w:rPr>
                <w:rFonts w:eastAsia="Times New Roman" w:cs="Times New Roman"/>
                <w:color w:val="000000"/>
                <w:sz w:val="22"/>
                <w:lang w:eastAsia="zh-CN"/>
              </w:rPr>
            </w:pPr>
            <w:r w:rsidRPr="00C510E6">
              <w:rPr>
                <w:rFonts w:eastAsia="Times New Roman" w:cs="Times New Roman"/>
                <w:color w:val="000000"/>
                <w:sz w:val="22"/>
                <w:lang w:eastAsia="zh-CN"/>
              </w:rPr>
              <w:t>2013</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C510E6" w:rsidRPr="00C510E6" w:rsidRDefault="00C510E6" w:rsidP="00C510E6">
            <w:pPr>
              <w:spacing w:line="240" w:lineRule="auto"/>
              <w:ind w:firstLine="0"/>
              <w:jc w:val="center"/>
              <w:rPr>
                <w:rFonts w:eastAsia="Times New Roman" w:cs="Times New Roman"/>
                <w:color w:val="000000"/>
                <w:sz w:val="22"/>
                <w:lang w:eastAsia="zh-CN"/>
              </w:rPr>
            </w:pPr>
            <w:r w:rsidRPr="00C510E6">
              <w:rPr>
                <w:rFonts w:eastAsia="Times New Roman" w:cs="Times New Roman"/>
                <w:color w:val="000000"/>
                <w:sz w:val="22"/>
                <w:lang w:eastAsia="zh-CN"/>
              </w:rPr>
              <w:t>2014</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C510E6" w:rsidRPr="00C510E6" w:rsidRDefault="00C510E6" w:rsidP="00C510E6">
            <w:pPr>
              <w:spacing w:line="240" w:lineRule="auto"/>
              <w:ind w:firstLine="0"/>
              <w:jc w:val="center"/>
              <w:rPr>
                <w:rFonts w:eastAsia="Times New Roman" w:cs="Times New Roman"/>
                <w:color w:val="000000"/>
                <w:sz w:val="22"/>
                <w:lang w:eastAsia="zh-CN"/>
              </w:rPr>
            </w:pPr>
            <w:r w:rsidRPr="00C510E6">
              <w:rPr>
                <w:rFonts w:eastAsia="Times New Roman" w:cs="Times New Roman"/>
                <w:color w:val="000000"/>
                <w:sz w:val="22"/>
                <w:lang w:eastAsia="zh-CN"/>
              </w:rPr>
              <w:t>2015</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C510E6" w:rsidRPr="00C510E6" w:rsidRDefault="00C510E6" w:rsidP="00C510E6">
            <w:pPr>
              <w:spacing w:line="240" w:lineRule="auto"/>
              <w:ind w:firstLine="0"/>
              <w:jc w:val="center"/>
              <w:rPr>
                <w:rFonts w:eastAsia="Times New Roman" w:cs="Times New Roman"/>
                <w:color w:val="000000"/>
                <w:sz w:val="22"/>
                <w:lang w:eastAsia="zh-CN"/>
              </w:rPr>
            </w:pPr>
            <w:r w:rsidRPr="00C510E6">
              <w:rPr>
                <w:rFonts w:eastAsia="Times New Roman" w:cs="Times New Roman"/>
                <w:color w:val="000000"/>
                <w:sz w:val="22"/>
                <w:lang w:eastAsia="zh-CN"/>
              </w:rPr>
              <w:t>2016</w:t>
            </w:r>
          </w:p>
        </w:tc>
      </w:tr>
      <w:tr w:rsidR="00C510E6" w:rsidRPr="00C510E6" w:rsidTr="00D60D24">
        <w:trPr>
          <w:trHeight w:val="300"/>
        </w:trPr>
        <w:tc>
          <w:tcPr>
            <w:tcW w:w="1825" w:type="pct"/>
            <w:tcBorders>
              <w:top w:val="nil"/>
              <w:left w:val="single" w:sz="4" w:space="0" w:color="auto"/>
              <w:bottom w:val="single" w:sz="4" w:space="0" w:color="auto"/>
              <w:right w:val="single" w:sz="4" w:space="0" w:color="auto"/>
            </w:tcBorders>
            <w:shd w:val="clear" w:color="auto" w:fill="auto"/>
            <w:noWrap/>
            <w:vAlign w:val="bottom"/>
            <w:hideMark/>
          </w:tcPr>
          <w:p w:rsidR="00C510E6" w:rsidRPr="00C510E6" w:rsidRDefault="00C510E6" w:rsidP="00C510E6">
            <w:pPr>
              <w:spacing w:line="240" w:lineRule="auto"/>
              <w:ind w:firstLine="0"/>
              <w:jc w:val="left"/>
              <w:rPr>
                <w:rFonts w:eastAsia="Times New Roman" w:cs="Times New Roman"/>
                <w:color w:val="000000"/>
                <w:sz w:val="22"/>
                <w:lang w:eastAsia="zh-CN"/>
              </w:rPr>
            </w:pPr>
            <w:r w:rsidRPr="00C510E6">
              <w:rPr>
                <w:rFonts w:eastAsia="Times New Roman" w:cs="Times New Roman"/>
                <w:color w:val="000000"/>
                <w:sz w:val="22"/>
                <w:lang w:eastAsia="zh-CN"/>
              </w:rPr>
              <w:t>В целом по области, чел.</w:t>
            </w:r>
          </w:p>
        </w:tc>
        <w:tc>
          <w:tcPr>
            <w:tcW w:w="635" w:type="pct"/>
            <w:tcBorders>
              <w:top w:val="nil"/>
              <w:left w:val="nil"/>
              <w:bottom w:val="single" w:sz="4" w:space="0" w:color="auto"/>
              <w:right w:val="single" w:sz="4" w:space="0" w:color="auto"/>
            </w:tcBorders>
            <w:shd w:val="clear" w:color="auto" w:fill="auto"/>
            <w:vAlign w:val="center"/>
            <w:hideMark/>
          </w:tcPr>
          <w:p w:rsidR="00C510E6" w:rsidRPr="00C510E6" w:rsidRDefault="00C510E6" w:rsidP="00C510E6">
            <w:pPr>
              <w:spacing w:line="240" w:lineRule="auto"/>
              <w:ind w:firstLine="0"/>
              <w:jc w:val="right"/>
              <w:rPr>
                <w:rFonts w:eastAsia="Times New Roman" w:cs="Times New Roman"/>
                <w:color w:val="000000"/>
                <w:sz w:val="22"/>
                <w:lang w:eastAsia="zh-CN"/>
              </w:rPr>
            </w:pPr>
            <w:r w:rsidRPr="00C510E6">
              <w:rPr>
                <w:rFonts w:eastAsia="Times New Roman" w:cs="Times New Roman"/>
                <w:color w:val="000000"/>
                <w:sz w:val="22"/>
                <w:lang w:eastAsia="zh-CN"/>
              </w:rPr>
              <w:t>11 632</w:t>
            </w:r>
          </w:p>
        </w:tc>
        <w:tc>
          <w:tcPr>
            <w:tcW w:w="635" w:type="pct"/>
            <w:tcBorders>
              <w:top w:val="nil"/>
              <w:left w:val="nil"/>
              <w:bottom w:val="single" w:sz="4" w:space="0" w:color="auto"/>
              <w:right w:val="single" w:sz="4" w:space="0" w:color="auto"/>
            </w:tcBorders>
            <w:shd w:val="clear" w:color="auto" w:fill="auto"/>
            <w:vAlign w:val="center"/>
            <w:hideMark/>
          </w:tcPr>
          <w:p w:rsidR="00C510E6" w:rsidRPr="00C510E6" w:rsidRDefault="00C510E6" w:rsidP="00C510E6">
            <w:pPr>
              <w:spacing w:line="240" w:lineRule="auto"/>
              <w:ind w:firstLine="0"/>
              <w:jc w:val="right"/>
              <w:rPr>
                <w:rFonts w:eastAsia="Times New Roman" w:cs="Times New Roman"/>
                <w:color w:val="000000"/>
                <w:sz w:val="22"/>
                <w:lang w:eastAsia="zh-CN"/>
              </w:rPr>
            </w:pPr>
            <w:r w:rsidRPr="00C510E6">
              <w:rPr>
                <w:rFonts w:eastAsia="Times New Roman" w:cs="Times New Roman"/>
                <w:color w:val="000000"/>
                <w:sz w:val="22"/>
                <w:lang w:eastAsia="zh-CN"/>
              </w:rPr>
              <w:t>11 732</w:t>
            </w:r>
          </w:p>
        </w:tc>
        <w:tc>
          <w:tcPr>
            <w:tcW w:w="635" w:type="pct"/>
            <w:tcBorders>
              <w:top w:val="nil"/>
              <w:left w:val="nil"/>
              <w:bottom w:val="single" w:sz="4" w:space="0" w:color="auto"/>
              <w:right w:val="single" w:sz="4" w:space="0" w:color="auto"/>
            </w:tcBorders>
            <w:shd w:val="clear" w:color="auto" w:fill="auto"/>
            <w:vAlign w:val="center"/>
            <w:hideMark/>
          </w:tcPr>
          <w:p w:rsidR="00C510E6" w:rsidRPr="00C510E6" w:rsidRDefault="00C510E6" w:rsidP="00C510E6">
            <w:pPr>
              <w:spacing w:line="240" w:lineRule="auto"/>
              <w:ind w:firstLine="0"/>
              <w:jc w:val="right"/>
              <w:rPr>
                <w:rFonts w:eastAsia="Times New Roman" w:cs="Times New Roman"/>
                <w:color w:val="000000"/>
                <w:sz w:val="22"/>
                <w:lang w:eastAsia="zh-CN"/>
              </w:rPr>
            </w:pPr>
            <w:r w:rsidRPr="00C510E6">
              <w:rPr>
                <w:rFonts w:eastAsia="Times New Roman" w:cs="Times New Roman"/>
                <w:color w:val="000000"/>
                <w:sz w:val="22"/>
                <w:lang w:eastAsia="zh-CN"/>
              </w:rPr>
              <w:t>11 592</w:t>
            </w:r>
          </w:p>
        </w:tc>
        <w:tc>
          <w:tcPr>
            <w:tcW w:w="635" w:type="pct"/>
            <w:tcBorders>
              <w:top w:val="nil"/>
              <w:left w:val="nil"/>
              <w:bottom w:val="single" w:sz="4" w:space="0" w:color="auto"/>
              <w:right w:val="single" w:sz="4" w:space="0" w:color="auto"/>
            </w:tcBorders>
            <w:shd w:val="clear" w:color="auto" w:fill="auto"/>
            <w:vAlign w:val="center"/>
            <w:hideMark/>
          </w:tcPr>
          <w:p w:rsidR="00C510E6" w:rsidRPr="00C510E6" w:rsidRDefault="00C510E6" w:rsidP="00C510E6">
            <w:pPr>
              <w:spacing w:line="240" w:lineRule="auto"/>
              <w:ind w:firstLine="0"/>
              <w:jc w:val="right"/>
              <w:rPr>
                <w:rFonts w:eastAsia="Times New Roman" w:cs="Times New Roman"/>
                <w:color w:val="000000"/>
                <w:sz w:val="22"/>
                <w:lang w:eastAsia="zh-CN"/>
              </w:rPr>
            </w:pPr>
            <w:r w:rsidRPr="00C510E6">
              <w:rPr>
                <w:rFonts w:eastAsia="Times New Roman" w:cs="Times New Roman"/>
                <w:snapToGrid w:val="0"/>
                <w:color w:val="000000"/>
                <w:sz w:val="22"/>
                <w:szCs w:val="20"/>
                <w:lang w:val="en-US" w:eastAsia="zh-CN"/>
              </w:rPr>
              <w:t>11 753</w:t>
            </w:r>
          </w:p>
        </w:tc>
        <w:tc>
          <w:tcPr>
            <w:tcW w:w="635" w:type="pct"/>
            <w:tcBorders>
              <w:top w:val="nil"/>
              <w:left w:val="nil"/>
              <w:bottom w:val="single" w:sz="4" w:space="0" w:color="auto"/>
              <w:right w:val="single" w:sz="4" w:space="0" w:color="auto"/>
            </w:tcBorders>
            <w:shd w:val="clear" w:color="auto" w:fill="auto"/>
            <w:vAlign w:val="center"/>
            <w:hideMark/>
          </w:tcPr>
          <w:p w:rsidR="00C510E6" w:rsidRPr="00C510E6" w:rsidRDefault="00C510E6" w:rsidP="00C510E6">
            <w:pPr>
              <w:spacing w:line="240" w:lineRule="auto"/>
              <w:ind w:firstLine="0"/>
              <w:jc w:val="right"/>
              <w:rPr>
                <w:rFonts w:eastAsia="Times New Roman" w:cs="Times New Roman"/>
                <w:color w:val="000000"/>
                <w:sz w:val="22"/>
                <w:lang w:eastAsia="zh-CN"/>
              </w:rPr>
            </w:pPr>
            <w:r w:rsidRPr="00C510E6">
              <w:rPr>
                <w:rFonts w:eastAsia="Times New Roman" w:cs="Times New Roman"/>
                <w:color w:val="000000"/>
                <w:sz w:val="22"/>
                <w:lang w:eastAsia="zh-CN"/>
              </w:rPr>
              <w:t>11 184</w:t>
            </w:r>
          </w:p>
        </w:tc>
      </w:tr>
      <w:tr w:rsidR="00C510E6" w:rsidRPr="00C510E6" w:rsidTr="00D60D24">
        <w:trPr>
          <w:trHeight w:val="300"/>
        </w:trPr>
        <w:tc>
          <w:tcPr>
            <w:tcW w:w="1825" w:type="pct"/>
            <w:tcBorders>
              <w:top w:val="nil"/>
              <w:left w:val="single" w:sz="4" w:space="0" w:color="auto"/>
              <w:bottom w:val="single" w:sz="4" w:space="0" w:color="auto"/>
              <w:right w:val="single" w:sz="4" w:space="0" w:color="auto"/>
            </w:tcBorders>
            <w:shd w:val="clear" w:color="auto" w:fill="auto"/>
            <w:noWrap/>
            <w:vAlign w:val="bottom"/>
            <w:hideMark/>
          </w:tcPr>
          <w:p w:rsidR="00C510E6" w:rsidRPr="00C510E6" w:rsidRDefault="00C510E6" w:rsidP="00C510E6">
            <w:pPr>
              <w:spacing w:line="240" w:lineRule="auto"/>
              <w:ind w:firstLine="0"/>
              <w:jc w:val="left"/>
              <w:rPr>
                <w:rFonts w:eastAsia="Times New Roman" w:cs="Times New Roman"/>
                <w:color w:val="000000"/>
                <w:sz w:val="22"/>
                <w:lang w:eastAsia="zh-CN"/>
              </w:rPr>
            </w:pPr>
            <w:r w:rsidRPr="00C510E6">
              <w:rPr>
                <w:rFonts w:eastAsia="Times New Roman" w:cs="Times New Roman"/>
                <w:color w:val="000000"/>
                <w:sz w:val="22"/>
                <w:lang w:eastAsia="zh-CN"/>
              </w:rPr>
              <w:t>Городское население, чел.</w:t>
            </w:r>
          </w:p>
        </w:tc>
        <w:tc>
          <w:tcPr>
            <w:tcW w:w="635" w:type="pct"/>
            <w:tcBorders>
              <w:top w:val="nil"/>
              <w:left w:val="nil"/>
              <w:bottom w:val="single" w:sz="4" w:space="0" w:color="auto"/>
              <w:right w:val="single" w:sz="4" w:space="0" w:color="auto"/>
            </w:tcBorders>
            <w:shd w:val="clear" w:color="auto" w:fill="auto"/>
            <w:vAlign w:val="center"/>
            <w:hideMark/>
          </w:tcPr>
          <w:p w:rsidR="00C510E6" w:rsidRPr="00C510E6" w:rsidRDefault="00C510E6" w:rsidP="00C510E6">
            <w:pPr>
              <w:spacing w:line="240" w:lineRule="auto"/>
              <w:ind w:firstLine="0"/>
              <w:jc w:val="right"/>
              <w:rPr>
                <w:rFonts w:eastAsia="Times New Roman" w:cs="Times New Roman"/>
                <w:color w:val="000000"/>
                <w:sz w:val="22"/>
                <w:lang w:eastAsia="zh-CN"/>
              </w:rPr>
            </w:pPr>
            <w:r w:rsidRPr="00C510E6">
              <w:rPr>
                <w:rFonts w:eastAsia="Times New Roman" w:cs="Times New Roman"/>
                <w:color w:val="000000"/>
                <w:sz w:val="22"/>
                <w:lang w:eastAsia="zh-CN"/>
              </w:rPr>
              <w:t>9 553</w:t>
            </w:r>
          </w:p>
        </w:tc>
        <w:tc>
          <w:tcPr>
            <w:tcW w:w="635" w:type="pct"/>
            <w:tcBorders>
              <w:top w:val="nil"/>
              <w:left w:val="nil"/>
              <w:bottom w:val="single" w:sz="4" w:space="0" w:color="auto"/>
              <w:right w:val="single" w:sz="4" w:space="0" w:color="auto"/>
            </w:tcBorders>
            <w:shd w:val="clear" w:color="auto" w:fill="auto"/>
            <w:vAlign w:val="center"/>
            <w:hideMark/>
          </w:tcPr>
          <w:p w:rsidR="00C510E6" w:rsidRPr="00C510E6" w:rsidRDefault="00C510E6" w:rsidP="00C510E6">
            <w:pPr>
              <w:spacing w:line="240" w:lineRule="auto"/>
              <w:ind w:firstLine="0"/>
              <w:jc w:val="right"/>
              <w:rPr>
                <w:rFonts w:eastAsia="Times New Roman" w:cs="Times New Roman"/>
                <w:color w:val="000000"/>
                <w:sz w:val="22"/>
                <w:lang w:eastAsia="zh-CN"/>
              </w:rPr>
            </w:pPr>
            <w:r w:rsidRPr="00C510E6">
              <w:rPr>
                <w:rFonts w:eastAsia="Times New Roman" w:cs="Times New Roman"/>
                <w:color w:val="000000"/>
                <w:sz w:val="22"/>
                <w:lang w:eastAsia="zh-CN"/>
              </w:rPr>
              <w:t>9 666</w:t>
            </w:r>
          </w:p>
        </w:tc>
        <w:tc>
          <w:tcPr>
            <w:tcW w:w="635" w:type="pct"/>
            <w:tcBorders>
              <w:top w:val="nil"/>
              <w:left w:val="nil"/>
              <w:bottom w:val="single" w:sz="4" w:space="0" w:color="auto"/>
              <w:right w:val="single" w:sz="4" w:space="0" w:color="auto"/>
            </w:tcBorders>
            <w:shd w:val="clear" w:color="auto" w:fill="auto"/>
            <w:vAlign w:val="center"/>
            <w:hideMark/>
          </w:tcPr>
          <w:p w:rsidR="00C510E6" w:rsidRPr="00C510E6" w:rsidRDefault="00C510E6" w:rsidP="00C510E6">
            <w:pPr>
              <w:spacing w:line="240" w:lineRule="auto"/>
              <w:ind w:firstLine="0"/>
              <w:jc w:val="right"/>
              <w:rPr>
                <w:rFonts w:eastAsia="Times New Roman" w:cs="Times New Roman"/>
                <w:color w:val="000000"/>
                <w:sz w:val="22"/>
                <w:lang w:eastAsia="zh-CN"/>
              </w:rPr>
            </w:pPr>
            <w:r w:rsidRPr="00C510E6">
              <w:rPr>
                <w:rFonts w:eastAsia="Times New Roman" w:cs="Times New Roman"/>
                <w:color w:val="000000"/>
                <w:sz w:val="22"/>
                <w:lang w:eastAsia="zh-CN"/>
              </w:rPr>
              <w:t>9 498</w:t>
            </w:r>
          </w:p>
        </w:tc>
        <w:tc>
          <w:tcPr>
            <w:tcW w:w="635" w:type="pct"/>
            <w:tcBorders>
              <w:top w:val="nil"/>
              <w:left w:val="nil"/>
              <w:bottom w:val="single" w:sz="4" w:space="0" w:color="auto"/>
              <w:right w:val="single" w:sz="4" w:space="0" w:color="auto"/>
            </w:tcBorders>
            <w:shd w:val="clear" w:color="auto" w:fill="auto"/>
            <w:vAlign w:val="center"/>
            <w:hideMark/>
          </w:tcPr>
          <w:p w:rsidR="00C510E6" w:rsidRPr="00C510E6" w:rsidRDefault="00C510E6" w:rsidP="00C510E6">
            <w:pPr>
              <w:spacing w:line="240" w:lineRule="auto"/>
              <w:ind w:firstLine="0"/>
              <w:jc w:val="right"/>
              <w:rPr>
                <w:rFonts w:eastAsia="Times New Roman" w:cs="Times New Roman"/>
                <w:color w:val="000000"/>
                <w:sz w:val="22"/>
                <w:lang w:eastAsia="zh-CN"/>
              </w:rPr>
            </w:pPr>
            <w:r w:rsidRPr="00C510E6">
              <w:rPr>
                <w:rFonts w:eastAsia="Times New Roman" w:cs="Times New Roman"/>
                <w:snapToGrid w:val="0"/>
                <w:color w:val="000000"/>
                <w:sz w:val="22"/>
                <w:szCs w:val="20"/>
                <w:lang w:val="en-US" w:eastAsia="zh-CN"/>
              </w:rPr>
              <w:t>9 989</w:t>
            </w:r>
          </w:p>
        </w:tc>
        <w:tc>
          <w:tcPr>
            <w:tcW w:w="635" w:type="pct"/>
            <w:tcBorders>
              <w:top w:val="nil"/>
              <w:left w:val="nil"/>
              <w:bottom w:val="single" w:sz="4" w:space="0" w:color="auto"/>
              <w:right w:val="single" w:sz="4" w:space="0" w:color="auto"/>
            </w:tcBorders>
            <w:shd w:val="clear" w:color="auto" w:fill="auto"/>
            <w:vAlign w:val="center"/>
            <w:hideMark/>
          </w:tcPr>
          <w:p w:rsidR="00C510E6" w:rsidRPr="00C510E6" w:rsidRDefault="00C510E6" w:rsidP="00C510E6">
            <w:pPr>
              <w:spacing w:line="240" w:lineRule="auto"/>
              <w:ind w:firstLine="0"/>
              <w:jc w:val="right"/>
              <w:rPr>
                <w:rFonts w:eastAsia="Times New Roman" w:cs="Times New Roman"/>
                <w:color w:val="000000"/>
                <w:sz w:val="22"/>
                <w:lang w:eastAsia="zh-CN"/>
              </w:rPr>
            </w:pPr>
            <w:r w:rsidRPr="00C510E6">
              <w:rPr>
                <w:rFonts w:eastAsia="Times New Roman" w:cs="Times New Roman"/>
                <w:color w:val="000000"/>
                <w:sz w:val="22"/>
                <w:lang w:eastAsia="zh-CN"/>
              </w:rPr>
              <w:t>9 267</w:t>
            </w:r>
          </w:p>
        </w:tc>
      </w:tr>
    </w:tbl>
    <w:p w:rsidR="00B55F56" w:rsidRDefault="00B55F56" w:rsidP="00181C83">
      <w:pPr>
        <w:ind w:firstLine="0"/>
      </w:pPr>
    </w:p>
    <w:p w:rsidR="00181C83" w:rsidRDefault="00181C83" w:rsidP="003D5070">
      <w:r>
        <w:t xml:space="preserve">В 2005 году численность родившихся среди городского населения составила 7,8 тыс. </w:t>
      </w:r>
      <w:r w:rsidR="00D60D24">
        <w:t>человек. На графике продемонстрирован рост рождаемости по сравнению с началом двухтысячных годов.</w:t>
      </w:r>
      <w:r w:rsidR="003D5070">
        <w:t xml:space="preserve"> Таким образом, в ближайшие годы не следует ожидать резкого снижения спроса на дошкольные образовательные услуги, в особенности индивидуальные занятия по коррекции дефектов речи.</w:t>
      </w:r>
    </w:p>
    <w:p w:rsidR="00D60D24" w:rsidRDefault="005541ED" w:rsidP="00181C83">
      <w:pPr>
        <w:ind w:firstLine="0"/>
      </w:pPr>
      <w:r>
        <w:rPr>
          <w:noProof/>
          <w:lang w:eastAsia="zh-CN"/>
        </w:rPr>
        <w:drawing>
          <wp:inline distT="0" distB="0" distL="0" distR="0">
            <wp:extent cx="5939790" cy="3329531"/>
            <wp:effectExtent l="0" t="0" r="0" b="0"/>
            <wp:docPr id="3" name="Рисунок 3" descr="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i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329531"/>
                    </a:xfrm>
                    <a:prstGeom prst="rect">
                      <a:avLst/>
                    </a:prstGeom>
                    <a:noFill/>
                    <a:ln>
                      <a:noFill/>
                    </a:ln>
                  </pic:spPr>
                </pic:pic>
              </a:graphicData>
            </a:graphic>
          </wp:inline>
        </w:drawing>
      </w:r>
      <w:r w:rsidRPr="005541ED">
        <w:rPr>
          <w:i/>
          <w:sz w:val="24"/>
        </w:rPr>
        <w:t>Источник: Ивановостат</w:t>
      </w:r>
    </w:p>
    <w:p w:rsidR="00D60D24" w:rsidRDefault="005541ED" w:rsidP="005541ED">
      <w:pPr>
        <w:pStyle w:val="a8"/>
      </w:pPr>
      <w:r>
        <w:t>Рис.3.</w:t>
      </w:r>
      <w:r w:rsidR="005C2E51">
        <w:t>2</w:t>
      </w:r>
      <w:r>
        <w:t>.1. Рост рождаемости в регионе</w:t>
      </w:r>
    </w:p>
    <w:p w:rsidR="005541ED" w:rsidRDefault="005541ED" w:rsidP="005541ED">
      <w:pPr>
        <w:pStyle w:val="a8"/>
      </w:pPr>
    </w:p>
    <w:p w:rsidR="00D60D24" w:rsidRDefault="00D60D24" w:rsidP="003D5070">
      <w:r>
        <w:t>По мимо роста рождаемости стоит также отметить и снижен</w:t>
      </w:r>
      <w:r w:rsidR="00FA11FF">
        <w:t>ие детской смертности (рис.</w:t>
      </w:r>
      <w:r w:rsidR="003D5070">
        <w:t xml:space="preserve"> 3.1.2</w:t>
      </w:r>
      <w:r w:rsidR="00FA11FF">
        <w:t xml:space="preserve">). </w:t>
      </w:r>
      <w:r w:rsidR="00D962C2">
        <w:t>Гр</w:t>
      </w:r>
      <w:r w:rsidR="00FA11FF">
        <w:t>а</w:t>
      </w:r>
      <w:r w:rsidR="00D962C2">
        <w:t>ф</w:t>
      </w:r>
      <w:r w:rsidR="00FA11FF">
        <w:t>ик показывает постепенное снижение смертности по возрастной группе от 0 до 9 лет как среди м</w:t>
      </w:r>
      <w:r w:rsidR="003D5070">
        <w:t>альчиков,</w:t>
      </w:r>
      <w:r w:rsidR="00FA11FF">
        <w:t xml:space="preserve"> так и среди девочек.</w:t>
      </w:r>
    </w:p>
    <w:p w:rsidR="00FA11FF" w:rsidRDefault="00FA11FF" w:rsidP="00181C83">
      <w:pPr>
        <w:ind w:firstLine="0"/>
      </w:pPr>
    </w:p>
    <w:p w:rsidR="003D5070" w:rsidRDefault="00FA11FF" w:rsidP="00181C83">
      <w:pPr>
        <w:ind w:firstLine="0"/>
      </w:pPr>
      <w:r>
        <w:rPr>
          <w:noProof/>
          <w:lang w:eastAsia="zh-CN"/>
        </w:rPr>
        <w:drawing>
          <wp:inline distT="0" distB="0" distL="0" distR="0" wp14:anchorId="7EE63810" wp14:editId="188D8C1A">
            <wp:extent cx="5924550" cy="26384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5070" w:rsidRDefault="003D5070" w:rsidP="003D5070">
      <w:pPr>
        <w:ind w:firstLine="0"/>
        <w:jc w:val="center"/>
      </w:pPr>
      <w:r>
        <w:t>Р</w:t>
      </w:r>
      <w:r w:rsidR="0088579F">
        <w:rPr>
          <w:b/>
          <w:sz w:val="22"/>
        </w:rPr>
        <w:t>ис. 3.2</w:t>
      </w:r>
      <w:r w:rsidRPr="003D5070">
        <w:rPr>
          <w:b/>
          <w:sz w:val="22"/>
        </w:rPr>
        <w:t>.2. Детская смертность в регионе</w:t>
      </w:r>
    </w:p>
    <w:p w:rsidR="00C9290F" w:rsidRDefault="00C9290F" w:rsidP="00C9290F">
      <w:r>
        <w:t xml:space="preserve">На рынке услуг дошкольного образования важным фактором является территориальное расположение зданий, где проходит процесс обучения. Соответственно наибольший спрос следует ожидать со стороны родителей, проживающих в том же районе города, где находится центр дошкольного образования. </w:t>
      </w:r>
    </w:p>
    <w:p w:rsidR="003D5070" w:rsidRDefault="003D5070" w:rsidP="00363578">
      <w:r>
        <w:t xml:space="preserve">Таким образом демографических предпосылок к снижению спроса на услуги дошкольного образования нет. </w:t>
      </w:r>
      <w:r w:rsidR="0088579F">
        <w:t xml:space="preserve">ДЮЦ № 1 может расчитывать на сохранение текущего объема поступлений в тех районах города, где у учреждения уже имеются отделения, а также в перспективе на получение дополнительных поступлений от организации платных образовательных </w:t>
      </w:r>
      <w:r w:rsidR="00C9290F">
        <w:t>в Советском районе на базе ДК.</w:t>
      </w:r>
    </w:p>
    <w:p w:rsidR="00C9290F" w:rsidRDefault="00C9290F" w:rsidP="00363578">
      <w:r>
        <w:t>Определим объем потенциальных поступлений, от организации платных образовательных услуг. Для этого приведем статистику прошлых лет</w:t>
      </w:r>
      <w:r w:rsidR="005C2E51">
        <w:t xml:space="preserve"> (таблица 3.2.2)</w:t>
      </w:r>
    </w:p>
    <w:p w:rsidR="005C2E51" w:rsidRDefault="005C2E51" w:rsidP="005C2E51">
      <w:pPr>
        <w:pStyle w:val="ad"/>
      </w:pPr>
      <w:r>
        <w:t>Таблица 3.2.2</w:t>
      </w:r>
    </w:p>
    <w:p w:rsidR="005C2E51" w:rsidRDefault="005C2E51" w:rsidP="005C2E51">
      <w:pPr>
        <w:pStyle w:val="ae"/>
      </w:pPr>
      <w:r>
        <w:t>Поступления от оказания платных образовательных услуг</w:t>
      </w:r>
    </w:p>
    <w:tbl>
      <w:tblPr>
        <w:tblW w:w="5061" w:type="pct"/>
        <w:tblLook w:val="04A0" w:firstRow="1" w:lastRow="0" w:firstColumn="1" w:lastColumn="0" w:noHBand="0" w:noVBand="1"/>
      </w:tblPr>
      <w:tblGrid>
        <w:gridCol w:w="3188"/>
        <w:gridCol w:w="1277"/>
        <w:gridCol w:w="1395"/>
        <w:gridCol w:w="1277"/>
        <w:gridCol w:w="1277"/>
        <w:gridCol w:w="1273"/>
      </w:tblGrid>
      <w:tr w:rsidR="005C2E51" w:rsidRPr="005C2E51" w:rsidTr="005C2E51">
        <w:trPr>
          <w:trHeight w:val="381"/>
        </w:trPr>
        <w:tc>
          <w:tcPr>
            <w:tcW w:w="1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center"/>
              <w:rPr>
                <w:rFonts w:eastAsia="Times New Roman" w:cs="Times New Roman"/>
                <w:color w:val="000000"/>
                <w:sz w:val="22"/>
                <w:lang w:eastAsia="zh-CN"/>
              </w:rPr>
            </w:pPr>
            <w:r w:rsidRPr="005C2E51">
              <w:rPr>
                <w:rFonts w:eastAsia="Times New Roman" w:cs="Times New Roman"/>
                <w:color w:val="000000"/>
                <w:sz w:val="22"/>
                <w:lang w:eastAsia="zh-CN"/>
              </w:rPr>
              <w:t>Приносящая доход</w:t>
            </w:r>
          </w:p>
          <w:p w:rsidR="005C2E51" w:rsidRPr="005C2E51" w:rsidRDefault="005C2E51" w:rsidP="005C2E51">
            <w:pPr>
              <w:spacing w:line="240" w:lineRule="auto"/>
              <w:ind w:firstLine="0"/>
              <w:jc w:val="center"/>
              <w:rPr>
                <w:rFonts w:eastAsia="Times New Roman" w:cs="Times New Roman"/>
                <w:color w:val="000000"/>
                <w:sz w:val="22"/>
                <w:lang w:eastAsia="zh-CN"/>
              </w:rPr>
            </w:pPr>
            <w:r w:rsidRPr="005C2E51">
              <w:rPr>
                <w:rFonts w:eastAsia="Times New Roman" w:cs="Times New Roman"/>
                <w:color w:val="000000"/>
                <w:sz w:val="22"/>
                <w:lang w:eastAsia="zh-CN"/>
              </w:rPr>
              <w:t>деятельность</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center"/>
              <w:rPr>
                <w:rFonts w:eastAsia="Times New Roman" w:cs="Times New Roman"/>
                <w:color w:val="000000"/>
                <w:sz w:val="22"/>
                <w:lang w:eastAsia="zh-CN"/>
              </w:rPr>
            </w:pPr>
            <w:r w:rsidRPr="005C2E51">
              <w:rPr>
                <w:rFonts w:eastAsia="Times New Roman" w:cs="Times New Roman"/>
                <w:color w:val="000000"/>
                <w:sz w:val="22"/>
                <w:lang w:eastAsia="zh-CN"/>
              </w:rPr>
              <w:t>2012</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center"/>
              <w:rPr>
                <w:rFonts w:eastAsia="Times New Roman" w:cs="Times New Roman"/>
                <w:color w:val="000000"/>
                <w:sz w:val="22"/>
                <w:lang w:eastAsia="zh-CN"/>
              </w:rPr>
            </w:pPr>
            <w:r w:rsidRPr="005C2E51">
              <w:rPr>
                <w:rFonts w:eastAsia="Times New Roman" w:cs="Times New Roman"/>
                <w:color w:val="000000"/>
                <w:sz w:val="22"/>
                <w:lang w:eastAsia="zh-CN"/>
              </w:rPr>
              <w:t>2013</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center"/>
              <w:rPr>
                <w:rFonts w:eastAsia="Times New Roman" w:cs="Times New Roman"/>
                <w:color w:val="000000"/>
                <w:sz w:val="22"/>
                <w:lang w:eastAsia="zh-CN"/>
              </w:rPr>
            </w:pPr>
            <w:r w:rsidRPr="005C2E51">
              <w:rPr>
                <w:rFonts w:eastAsia="Times New Roman" w:cs="Times New Roman"/>
                <w:color w:val="000000"/>
                <w:sz w:val="22"/>
                <w:lang w:eastAsia="zh-CN"/>
              </w:rPr>
              <w:t>2015</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center"/>
              <w:rPr>
                <w:rFonts w:eastAsia="Times New Roman" w:cs="Times New Roman"/>
                <w:color w:val="000000"/>
                <w:sz w:val="22"/>
                <w:lang w:eastAsia="zh-CN"/>
              </w:rPr>
            </w:pPr>
            <w:r w:rsidRPr="005C2E51">
              <w:rPr>
                <w:rFonts w:eastAsia="Times New Roman" w:cs="Times New Roman"/>
                <w:color w:val="000000"/>
                <w:sz w:val="22"/>
                <w:lang w:eastAsia="zh-CN"/>
              </w:rPr>
              <w:t>2016</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center"/>
              <w:rPr>
                <w:rFonts w:eastAsia="Times New Roman" w:cs="Times New Roman"/>
                <w:color w:val="000000"/>
                <w:sz w:val="22"/>
                <w:lang w:eastAsia="zh-CN"/>
              </w:rPr>
            </w:pPr>
            <w:r w:rsidRPr="005C2E51">
              <w:rPr>
                <w:rFonts w:eastAsia="Times New Roman" w:cs="Times New Roman"/>
                <w:color w:val="000000"/>
                <w:sz w:val="22"/>
                <w:lang w:eastAsia="zh-CN"/>
              </w:rPr>
              <w:t>2017</w:t>
            </w:r>
          </w:p>
        </w:tc>
      </w:tr>
      <w:tr w:rsidR="005C2E51" w:rsidRPr="005C2E51" w:rsidTr="005C2E51">
        <w:trPr>
          <w:trHeight w:val="381"/>
        </w:trPr>
        <w:tc>
          <w:tcPr>
            <w:tcW w:w="1646" w:type="pct"/>
            <w:tcBorders>
              <w:top w:val="nil"/>
              <w:left w:val="single" w:sz="4" w:space="0" w:color="auto"/>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left"/>
              <w:rPr>
                <w:rFonts w:eastAsia="Times New Roman" w:cs="Times New Roman"/>
                <w:color w:val="000000"/>
                <w:sz w:val="22"/>
                <w:lang w:eastAsia="zh-CN"/>
              </w:rPr>
            </w:pPr>
            <w:r w:rsidRPr="005C2E51">
              <w:rPr>
                <w:rFonts w:eastAsia="Times New Roman" w:cs="Times New Roman"/>
                <w:color w:val="000000"/>
                <w:sz w:val="22"/>
                <w:lang w:eastAsia="zh-CN"/>
              </w:rPr>
              <w:t>Платные услуги</w:t>
            </w:r>
          </w:p>
        </w:tc>
        <w:tc>
          <w:tcPr>
            <w:tcW w:w="659"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666 500,0</w:t>
            </w:r>
          </w:p>
        </w:tc>
        <w:tc>
          <w:tcPr>
            <w:tcW w:w="720"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672 942,0</w:t>
            </w:r>
          </w:p>
        </w:tc>
        <w:tc>
          <w:tcPr>
            <w:tcW w:w="659"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1 626 265,9</w:t>
            </w:r>
          </w:p>
        </w:tc>
        <w:tc>
          <w:tcPr>
            <w:tcW w:w="659"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1 190 958,2</w:t>
            </w:r>
          </w:p>
        </w:tc>
        <w:tc>
          <w:tcPr>
            <w:tcW w:w="659"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1 740 800,0</w:t>
            </w:r>
          </w:p>
        </w:tc>
      </w:tr>
      <w:tr w:rsidR="005C2E51" w:rsidRPr="005C2E51" w:rsidTr="005C2E51">
        <w:trPr>
          <w:trHeight w:val="381"/>
        </w:trPr>
        <w:tc>
          <w:tcPr>
            <w:tcW w:w="1646" w:type="pct"/>
            <w:tcBorders>
              <w:top w:val="nil"/>
              <w:left w:val="single" w:sz="4" w:space="0" w:color="auto"/>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left"/>
              <w:rPr>
                <w:rFonts w:eastAsia="Times New Roman" w:cs="Times New Roman"/>
                <w:color w:val="000000"/>
                <w:sz w:val="22"/>
                <w:lang w:eastAsia="zh-CN"/>
              </w:rPr>
            </w:pPr>
            <w:r w:rsidRPr="005C2E51">
              <w:rPr>
                <w:rFonts w:eastAsia="Times New Roman" w:cs="Times New Roman"/>
                <w:color w:val="000000"/>
                <w:sz w:val="22"/>
                <w:lang w:eastAsia="zh-CN"/>
              </w:rPr>
              <w:t>Добровольные пожертвования</w:t>
            </w:r>
          </w:p>
        </w:tc>
        <w:tc>
          <w:tcPr>
            <w:tcW w:w="659"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352 300,0</w:t>
            </w:r>
          </w:p>
        </w:tc>
        <w:tc>
          <w:tcPr>
            <w:tcW w:w="720"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434 425,0</w:t>
            </w:r>
          </w:p>
        </w:tc>
        <w:tc>
          <w:tcPr>
            <w:tcW w:w="659"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608 067,2</w:t>
            </w:r>
          </w:p>
        </w:tc>
        <w:tc>
          <w:tcPr>
            <w:tcW w:w="659"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543 120,7</w:t>
            </w:r>
          </w:p>
        </w:tc>
        <w:tc>
          <w:tcPr>
            <w:tcW w:w="659"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400 000,0</w:t>
            </w:r>
          </w:p>
        </w:tc>
      </w:tr>
      <w:tr w:rsidR="005C2E51" w:rsidRPr="005C2E51" w:rsidTr="005C2E51">
        <w:trPr>
          <w:trHeight w:val="381"/>
        </w:trPr>
        <w:tc>
          <w:tcPr>
            <w:tcW w:w="1646" w:type="pct"/>
            <w:tcBorders>
              <w:top w:val="nil"/>
              <w:left w:val="single" w:sz="4" w:space="0" w:color="auto"/>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left"/>
              <w:rPr>
                <w:rFonts w:eastAsia="Times New Roman" w:cs="Times New Roman"/>
                <w:color w:val="000000"/>
                <w:sz w:val="22"/>
                <w:lang w:eastAsia="zh-CN"/>
              </w:rPr>
            </w:pPr>
            <w:r w:rsidRPr="005C2E51">
              <w:rPr>
                <w:rFonts w:eastAsia="Times New Roman" w:cs="Times New Roman"/>
                <w:color w:val="000000"/>
                <w:sz w:val="22"/>
                <w:lang w:eastAsia="zh-CN"/>
              </w:rPr>
              <w:t>Итого</w:t>
            </w:r>
          </w:p>
        </w:tc>
        <w:tc>
          <w:tcPr>
            <w:tcW w:w="659"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1 018 800,0</w:t>
            </w:r>
          </w:p>
        </w:tc>
        <w:tc>
          <w:tcPr>
            <w:tcW w:w="720"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1 107 367,0</w:t>
            </w:r>
          </w:p>
        </w:tc>
        <w:tc>
          <w:tcPr>
            <w:tcW w:w="659"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2 234 333,1</w:t>
            </w:r>
          </w:p>
        </w:tc>
        <w:tc>
          <w:tcPr>
            <w:tcW w:w="659"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1 734 078,9</w:t>
            </w:r>
          </w:p>
        </w:tc>
        <w:tc>
          <w:tcPr>
            <w:tcW w:w="659" w:type="pct"/>
            <w:tcBorders>
              <w:top w:val="nil"/>
              <w:left w:val="nil"/>
              <w:bottom w:val="single" w:sz="4" w:space="0" w:color="auto"/>
              <w:right w:val="single" w:sz="4" w:space="0" w:color="auto"/>
            </w:tcBorders>
            <w:shd w:val="clear" w:color="auto" w:fill="auto"/>
            <w:noWrap/>
            <w:vAlign w:val="center"/>
            <w:hideMark/>
          </w:tcPr>
          <w:p w:rsidR="005C2E51" w:rsidRPr="005C2E51" w:rsidRDefault="005C2E51" w:rsidP="005C2E51">
            <w:pPr>
              <w:spacing w:line="240" w:lineRule="auto"/>
              <w:ind w:firstLine="0"/>
              <w:jc w:val="right"/>
              <w:rPr>
                <w:rFonts w:eastAsia="Times New Roman" w:cs="Times New Roman"/>
                <w:color w:val="000000"/>
                <w:sz w:val="22"/>
                <w:lang w:eastAsia="zh-CN"/>
              </w:rPr>
            </w:pPr>
            <w:r w:rsidRPr="005C2E51">
              <w:rPr>
                <w:rFonts w:eastAsia="Times New Roman" w:cs="Times New Roman"/>
                <w:color w:val="000000"/>
                <w:sz w:val="22"/>
                <w:lang w:eastAsia="zh-CN"/>
              </w:rPr>
              <w:t>2 140 800,0</w:t>
            </w:r>
          </w:p>
        </w:tc>
      </w:tr>
    </w:tbl>
    <w:p w:rsidR="00C25305" w:rsidRDefault="00C25305" w:rsidP="00363578"/>
    <w:p w:rsidR="005C2E51" w:rsidRDefault="005C2E51" w:rsidP="00363578">
      <w:r>
        <w:t>Существует два вида платных услуг групповые занятие стоимостью 1200 рублей в месяц и индивидуальные стоимостью 2200 рублей в месяц. Организация имеет право направлять на развитие материально-технической базы 25% от общей суммы поступлений. Так как ремонт уже имеющихся помещений закончен, потребуются средства только на текущий ремонт: порядка 100 тыс. рублей на организацию ремонтно-восстановительных работ. Остальные средства могут быть направлены на осуществление ремонтных работ в новом здании.</w:t>
      </w:r>
    </w:p>
    <w:p w:rsidR="005C2E51" w:rsidRDefault="005C2E51" w:rsidP="00363578">
      <w:r>
        <w:t>Поступления от платных образовательных услуг рассчитываем исходя из стоимости услуг и загрузки около 200 детей в имеющихся помещениях и около 100 детей начиная с 2019 года в помещениях ДК.</w:t>
      </w:r>
      <w:r w:rsidR="0034484F">
        <w:t xml:space="preserve"> </w:t>
      </w:r>
    </w:p>
    <w:p w:rsidR="0034484F" w:rsidRDefault="0034484F" w:rsidP="0034484F">
      <w:r>
        <w:t>В среднем 10% детей получают индивидуальные платные образовательные услуги, остальные занимаются в группах. Годовая стоимость индивидуальных занятий составляет 19 800 рублей, групповых 10 800 рублей.</w:t>
      </w:r>
    </w:p>
    <w:p w:rsidR="005C2E51" w:rsidRDefault="0034484F" w:rsidP="00363578">
      <w:r>
        <w:t>Поступления от добровольных пожертвований рассчитываются исходя из среднего значения за предшествующий пятилетний период и составят 460 тыс. рублей в год.</w:t>
      </w:r>
    </w:p>
    <w:p w:rsidR="0034484F" w:rsidRDefault="0034484F" w:rsidP="00363578">
      <w:r>
        <w:t>В таблице 3.2.3. представлены перспективные поступления от платных образовательных услуг на период с 2018 по 2022 год, которые могут быть направлены на ремонт помещений в здании ДК без ущерба деятельности учреждения.</w:t>
      </w:r>
    </w:p>
    <w:p w:rsidR="0034484F" w:rsidRDefault="0034484F" w:rsidP="0034484F">
      <w:pPr>
        <w:pStyle w:val="ad"/>
      </w:pPr>
      <w:r>
        <w:t>Таблица 3.2.3</w:t>
      </w:r>
    </w:p>
    <w:p w:rsidR="0034484F" w:rsidRDefault="0034484F" w:rsidP="0034484F">
      <w:pPr>
        <w:pStyle w:val="ae"/>
      </w:pPr>
      <w:r>
        <w:t>Расчет наличия средств на ремонт здания ДК</w:t>
      </w:r>
    </w:p>
    <w:tbl>
      <w:tblPr>
        <w:tblW w:w="5126" w:type="pct"/>
        <w:tblLook w:val="04A0" w:firstRow="1" w:lastRow="0" w:firstColumn="1" w:lastColumn="0" w:noHBand="0" w:noVBand="1"/>
      </w:tblPr>
      <w:tblGrid>
        <w:gridCol w:w="3514"/>
        <w:gridCol w:w="1253"/>
        <w:gridCol w:w="1261"/>
        <w:gridCol w:w="1261"/>
        <w:gridCol w:w="1261"/>
        <w:gridCol w:w="1261"/>
      </w:tblGrid>
      <w:tr w:rsidR="0048536C" w:rsidRPr="0034484F" w:rsidTr="0048536C">
        <w:trPr>
          <w:trHeight w:val="300"/>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center"/>
              <w:rPr>
                <w:rFonts w:eastAsia="Times New Roman" w:cs="Times New Roman"/>
                <w:color w:val="000000"/>
                <w:sz w:val="22"/>
                <w:lang w:eastAsia="zh-CN"/>
              </w:rPr>
            </w:pPr>
            <w:r w:rsidRPr="0034484F">
              <w:rPr>
                <w:rFonts w:eastAsia="Times New Roman" w:cs="Times New Roman"/>
                <w:color w:val="000000"/>
                <w:sz w:val="22"/>
                <w:lang w:eastAsia="zh-CN"/>
              </w:rPr>
              <w:t>Приносящая доход деятельность</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center"/>
              <w:rPr>
                <w:rFonts w:eastAsia="Times New Roman" w:cs="Times New Roman"/>
                <w:color w:val="000000"/>
                <w:sz w:val="22"/>
                <w:lang w:eastAsia="zh-CN"/>
              </w:rPr>
            </w:pPr>
            <w:r w:rsidRPr="0034484F">
              <w:rPr>
                <w:rFonts w:eastAsia="Times New Roman" w:cs="Times New Roman"/>
                <w:color w:val="000000"/>
                <w:sz w:val="22"/>
                <w:lang w:eastAsia="zh-CN"/>
              </w:rPr>
              <w:t>2018</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center"/>
              <w:rPr>
                <w:rFonts w:eastAsia="Times New Roman" w:cs="Times New Roman"/>
                <w:color w:val="000000"/>
                <w:sz w:val="22"/>
                <w:lang w:eastAsia="zh-CN"/>
              </w:rPr>
            </w:pPr>
            <w:r w:rsidRPr="0034484F">
              <w:rPr>
                <w:rFonts w:eastAsia="Times New Roman" w:cs="Times New Roman"/>
                <w:color w:val="000000"/>
                <w:sz w:val="22"/>
                <w:lang w:eastAsia="zh-CN"/>
              </w:rPr>
              <w:t>2019</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center"/>
              <w:rPr>
                <w:rFonts w:eastAsia="Times New Roman" w:cs="Times New Roman"/>
                <w:color w:val="000000"/>
                <w:sz w:val="22"/>
                <w:lang w:eastAsia="zh-CN"/>
              </w:rPr>
            </w:pPr>
            <w:r w:rsidRPr="0034484F">
              <w:rPr>
                <w:rFonts w:eastAsia="Times New Roman" w:cs="Times New Roman"/>
                <w:color w:val="000000"/>
                <w:sz w:val="22"/>
                <w:lang w:eastAsia="zh-CN"/>
              </w:rPr>
              <w:t>2020</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center"/>
              <w:rPr>
                <w:rFonts w:eastAsia="Times New Roman" w:cs="Times New Roman"/>
                <w:color w:val="000000"/>
                <w:sz w:val="22"/>
                <w:lang w:eastAsia="zh-CN"/>
              </w:rPr>
            </w:pPr>
            <w:r w:rsidRPr="0034484F">
              <w:rPr>
                <w:rFonts w:eastAsia="Times New Roman" w:cs="Times New Roman"/>
                <w:color w:val="000000"/>
                <w:sz w:val="22"/>
                <w:lang w:eastAsia="zh-CN"/>
              </w:rPr>
              <w:t>2021</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center"/>
              <w:rPr>
                <w:rFonts w:eastAsia="Times New Roman" w:cs="Times New Roman"/>
                <w:color w:val="000000"/>
                <w:sz w:val="22"/>
                <w:lang w:eastAsia="zh-CN"/>
              </w:rPr>
            </w:pPr>
            <w:r w:rsidRPr="0034484F">
              <w:rPr>
                <w:rFonts w:eastAsia="Times New Roman" w:cs="Times New Roman"/>
                <w:color w:val="000000"/>
                <w:sz w:val="22"/>
                <w:lang w:eastAsia="zh-CN"/>
              </w:rPr>
              <w:t>2022</w:t>
            </w:r>
          </w:p>
        </w:tc>
      </w:tr>
      <w:tr w:rsidR="0034484F" w:rsidRPr="0034484F" w:rsidTr="0048536C">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84F" w:rsidRPr="0034484F" w:rsidRDefault="0034484F" w:rsidP="0034484F">
            <w:pPr>
              <w:spacing w:line="240" w:lineRule="auto"/>
              <w:ind w:firstLine="0"/>
              <w:jc w:val="center"/>
              <w:rPr>
                <w:rFonts w:eastAsia="Times New Roman" w:cs="Times New Roman"/>
                <w:color w:val="000000"/>
                <w:sz w:val="22"/>
                <w:lang w:eastAsia="zh-CN"/>
              </w:rPr>
            </w:pPr>
            <w:r w:rsidRPr="0034484F">
              <w:rPr>
                <w:rFonts w:eastAsia="Times New Roman" w:cs="Times New Roman"/>
                <w:color w:val="000000"/>
                <w:sz w:val="22"/>
                <w:lang w:eastAsia="zh-CN"/>
              </w:rPr>
              <w:t>Старые помещений ДЮЦ№1</w:t>
            </w:r>
          </w:p>
        </w:tc>
      </w:tr>
      <w:tr w:rsidR="0048536C" w:rsidRPr="0034484F" w:rsidTr="0048536C">
        <w:trPr>
          <w:trHeight w:val="300"/>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34484F" w:rsidRPr="0034484F" w:rsidRDefault="0034484F" w:rsidP="0034484F">
            <w:pPr>
              <w:spacing w:line="240" w:lineRule="auto"/>
              <w:ind w:firstLine="0"/>
              <w:jc w:val="left"/>
              <w:rPr>
                <w:rFonts w:eastAsia="Times New Roman" w:cs="Times New Roman"/>
                <w:color w:val="000000"/>
                <w:sz w:val="22"/>
                <w:lang w:eastAsia="zh-CN"/>
              </w:rPr>
            </w:pPr>
            <w:r w:rsidRPr="0034484F">
              <w:rPr>
                <w:rFonts w:eastAsia="Times New Roman" w:cs="Times New Roman"/>
                <w:color w:val="000000"/>
                <w:sz w:val="22"/>
                <w:lang w:eastAsia="zh-CN"/>
              </w:rPr>
              <w:t>Платные услуги</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4</w:t>
            </w:r>
            <w:r w:rsidR="0034484F" w:rsidRPr="0034484F">
              <w:rPr>
                <w:rFonts w:eastAsia="Times New Roman" w:cs="Times New Roman"/>
                <w:color w:val="000000"/>
                <w:sz w:val="22"/>
                <w:lang w:eastAsia="zh-CN"/>
              </w:rPr>
              <w:t>85 000,0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4</w:t>
            </w:r>
            <w:r w:rsidR="0034484F" w:rsidRPr="0034484F">
              <w:rPr>
                <w:rFonts w:eastAsia="Times New Roman" w:cs="Times New Roman"/>
                <w:color w:val="000000"/>
                <w:sz w:val="22"/>
                <w:lang w:eastAsia="zh-CN"/>
              </w:rPr>
              <w:t>85 000,0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4</w:t>
            </w:r>
            <w:r w:rsidR="0034484F" w:rsidRPr="0034484F">
              <w:rPr>
                <w:rFonts w:eastAsia="Times New Roman" w:cs="Times New Roman"/>
                <w:color w:val="000000"/>
                <w:sz w:val="22"/>
                <w:lang w:eastAsia="zh-CN"/>
              </w:rPr>
              <w:t>85 000,0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4</w:t>
            </w:r>
            <w:r w:rsidR="0034484F" w:rsidRPr="0034484F">
              <w:rPr>
                <w:rFonts w:eastAsia="Times New Roman" w:cs="Times New Roman"/>
                <w:color w:val="000000"/>
                <w:sz w:val="22"/>
                <w:lang w:eastAsia="zh-CN"/>
              </w:rPr>
              <w:t>85 000,0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4</w:t>
            </w:r>
            <w:r w:rsidR="0034484F" w:rsidRPr="0034484F">
              <w:rPr>
                <w:rFonts w:eastAsia="Times New Roman" w:cs="Times New Roman"/>
                <w:color w:val="000000"/>
                <w:sz w:val="22"/>
                <w:lang w:eastAsia="zh-CN"/>
              </w:rPr>
              <w:t>85 000,0</w:t>
            </w:r>
          </w:p>
        </w:tc>
      </w:tr>
      <w:tr w:rsidR="0048536C" w:rsidRPr="0034484F" w:rsidTr="0048536C">
        <w:trPr>
          <w:trHeight w:val="300"/>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34484F" w:rsidRPr="0034484F" w:rsidRDefault="0034484F" w:rsidP="0034484F">
            <w:pPr>
              <w:spacing w:line="240" w:lineRule="auto"/>
              <w:ind w:firstLine="0"/>
              <w:jc w:val="left"/>
              <w:rPr>
                <w:rFonts w:eastAsia="Times New Roman" w:cs="Times New Roman"/>
                <w:color w:val="000000"/>
                <w:sz w:val="22"/>
                <w:lang w:eastAsia="zh-CN"/>
              </w:rPr>
            </w:pPr>
            <w:r w:rsidRPr="0034484F">
              <w:rPr>
                <w:rFonts w:eastAsia="Times New Roman" w:cs="Times New Roman"/>
                <w:color w:val="000000"/>
                <w:sz w:val="22"/>
                <w:lang w:eastAsia="zh-CN"/>
              </w:rPr>
              <w:t>Добровольные пожертвования</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467 582,6</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467 582,6</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467 582,6</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467 582,6</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467 582,6</w:t>
            </w:r>
          </w:p>
        </w:tc>
      </w:tr>
      <w:tr w:rsidR="0048536C" w:rsidRPr="0034484F" w:rsidTr="0048536C">
        <w:trPr>
          <w:trHeight w:val="300"/>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34484F" w:rsidRPr="0034484F" w:rsidRDefault="0034484F" w:rsidP="0034484F">
            <w:pPr>
              <w:spacing w:line="240" w:lineRule="auto"/>
              <w:ind w:firstLine="0"/>
              <w:jc w:val="left"/>
              <w:rPr>
                <w:rFonts w:eastAsia="Times New Roman" w:cs="Times New Roman"/>
                <w:color w:val="000000"/>
                <w:sz w:val="22"/>
                <w:lang w:eastAsia="zh-CN"/>
              </w:rPr>
            </w:pPr>
            <w:r w:rsidRPr="0034484F">
              <w:rPr>
                <w:rFonts w:eastAsia="Times New Roman" w:cs="Times New Roman"/>
                <w:color w:val="000000"/>
                <w:sz w:val="22"/>
                <w:lang w:eastAsia="zh-CN"/>
              </w:rPr>
              <w:t>Итого</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9</w:t>
            </w:r>
            <w:r w:rsidR="0034484F" w:rsidRPr="0034484F">
              <w:rPr>
                <w:rFonts w:eastAsia="Times New Roman" w:cs="Times New Roman"/>
                <w:color w:val="000000"/>
                <w:sz w:val="22"/>
                <w:lang w:eastAsia="zh-CN"/>
              </w:rPr>
              <w:t>52 582,6</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9</w:t>
            </w:r>
            <w:r w:rsidR="0034484F" w:rsidRPr="0034484F">
              <w:rPr>
                <w:rFonts w:eastAsia="Times New Roman" w:cs="Times New Roman"/>
                <w:color w:val="000000"/>
                <w:sz w:val="22"/>
                <w:lang w:eastAsia="zh-CN"/>
              </w:rPr>
              <w:t>52 582,6</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9</w:t>
            </w:r>
            <w:r w:rsidR="0034484F" w:rsidRPr="0034484F">
              <w:rPr>
                <w:rFonts w:eastAsia="Times New Roman" w:cs="Times New Roman"/>
                <w:color w:val="000000"/>
                <w:sz w:val="22"/>
                <w:lang w:eastAsia="zh-CN"/>
              </w:rPr>
              <w:t>52 582,6</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9</w:t>
            </w:r>
            <w:r w:rsidR="0034484F" w:rsidRPr="0034484F">
              <w:rPr>
                <w:rFonts w:eastAsia="Times New Roman" w:cs="Times New Roman"/>
                <w:color w:val="000000"/>
                <w:sz w:val="22"/>
                <w:lang w:eastAsia="zh-CN"/>
              </w:rPr>
              <w:t>52 582,6</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9</w:t>
            </w:r>
            <w:r w:rsidR="0034484F" w:rsidRPr="0034484F">
              <w:rPr>
                <w:rFonts w:eastAsia="Times New Roman" w:cs="Times New Roman"/>
                <w:color w:val="000000"/>
                <w:sz w:val="22"/>
                <w:lang w:eastAsia="zh-CN"/>
              </w:rPr>
              <w:t>52 582,6</w:t>
            </w:r>
          </w:p>
        </w:tc>
      </w:tr>
      <w:tr w:rsidR="0034484F" w:rsidRPr="0034484F" w:rsidTr="0048536C">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84F" w:rsidRPr="0034484F" w:rsidRDefault="0034484F" w:rsidP="0034484F">
            <w:pPr>
              <w:spacing w:line="240" w:lineRule="auto"/>
              <w:ind w:firstLine="0"/>
              <w:jc w:val="center"/>
              <w:rPr>
                <w:rFonts w:eastAsia="Times New Roman" w:cs="Times New Roman"/>
                <w:color w:val="000000"/>
                <w:sz w:val="22"/>
                <w:lang w:eastAsia="zh-CN"/>
              </w:rPr>
            </w:pPr>
            <w:r w:rsidRPr="0034484F">
              <w:rPr>
                <w:rFonts w:eastAsia="Times New Roman" w:cs="Times New Roman"/>
                <w:color w:val="000000"/>
                <w:sz w:val="22"/>
                <w:lang w:eastAsia="zh-CN"/>
              </w:rPr>
              <w:t>Новые помещения</w:t>
            </w:r>
          </w:p>
        </w:tc>
      </w:tr>
      <w:tr w:rsidR="0048536C" w:rsidRPr="0034484F" w:rsidTr="0048536C">
        <w:trPr>
          <w:trHeight w:val="300"/>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34484F" w:rsidRPr="0034484F" w:rsidRDefault="0034484F" w:rsidP="0034484F">
            <w:pPr>
              <w:spacing w:line="240" w:lineRule="auto"/>
              <w:ind w:firstLine="0"/>
              <w:jc w:val="left"/>
              <w:rPr>
                <w:rFonts w:eastAsia="Times New Roman" w:cs="Times New Roman"/>
                <w:color w:val="000000"/>
                <w:sz w:val="22"/>
                <w:lang w:eastAsia="zh-CN"/>
              </w:rPr>
            </w:pPr>
            <w:r w:rsidRPr="0034484F">
              <w:rPr>
                <w:rFonts w:eastAsia="Times New Roman" w:cs="Times New Roman"/>
                <w:color w:val="000000"/>
                <w:sz w:val="22"/>
                <w:lang w:eastAsia="zh-CN"/>
              </w:rPr>
              <w:t>Платные услуги</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 </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292 500,0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292 500,0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292 500,0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292 500,0</w:t>
            </w:r>
          </w:p>
        </w:tc>
      </w:tr>
      <w:tr w:rsidR="0048536C" w:rsidRPr="0034484F" w:rsidTr="0048536C">
        <w:trPr>
          <w:trHeight w:val="300"/>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34484F" w:rsidRPr="0034484F" w:rsidRDefault="0034484F" w:rsidP="0034484F">
            <w:pPr>
              <w:spacing w:line="240" w:lineRule="auto"/>
              <w:ind w:firstLine="0"/>
              <w:jc w:val="left"/>
              <w:rPr>
                <w:rFonts w:eastAsia="Times New Roman" w:cs="Times New Roman"/>
                <w:color w:val="000000"/>
                <w:sz w:val="22"/>
                <w:lang w:eastAsia="zh-CN"/>
              </w:rPr>
            </w:pPr>
            <w:r w:rsidRPr="0034484F">
              <w:rPr>
                <w:rFonts w:eastAsia="Times New Roman" w:cs="Times New Roman"/>
                <w:color w:val="000000"/>
                <w:sz w:val="22"/>
                <w:lang w:eastAsia="zh-CN"/>
              </w:rPr>
              <w:t>Добровольные пожертвования</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 </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0,0</w:t>
            </w:r>
          </w:p>
        </w:tc>
      </w:tr>
      <w:tr w:rsidR="0048536C" w:rsidRPr="0034484F" w:rsidTr="0048536C">
        <w:trPr>
          <w:trHeight w:val="300"/>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34484F" w:rsidRPr="0034484F" w:rsidRDefault="0034484F" w:rsidP="0034484F">
            <w:pPr>
              <w:spacing w:line="240" w:lineRule="auto"/>
              <w:ind w:firstLine="0"/>
              <w:jc w:val="left"/>
              <w:rPr>
                <w:rFonts w:eastAsia="Times New Roman" w:cs="Times New Roman"/>
                <w:color w:val="000000"/>
                <w:sz w:val="22"/>
                <w:lang w:eastAsia="zh-CN"/>
              </w:rPr>
            </w:pPr>
            <w:r w:rsidRPr="0034484F">
              <w:rPr>
                <w:rFonts w:eastAsia="Times New Roman" w:cs="Times New Roman"/>
                <w:color w:val="000000"/>
                <w:sz w:val="22"/>
                <w:lang w:eastAsia="zh-CN"/>
              </w:rPr>
              <w:t>Итого</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 </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292 500,0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292 500,0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292 500,0</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292 500,0</w:t>
            </w:r>
          </w:p>
        </w:tc>
      </w:tr>
      <w:tr w:rsidR="0048536C" w:rsidRPr="0034484F" w:rsidTr="0048536C">
        <w:trPr>
          <w:trHeight w:val="600"/>
        </w:trPr>
        <w:tc>
          <w:tcPr>
            <w:tcW w:w="1794" w:type="pct"/>
            <w:tcBorders>
              <w:top w:val="nil"/>
              <w:left w:val="single" w:sz="4" w:space="0" w:color="auto"/>
              <w:bottom w:val="single" w:sz="4" w:space="0" w:color="auto"/>
              <w:right w:val="single" w:sz="4" w:space="0" w:color="auto"/>
            </w:tcBorders>
            <w:shd w:val="clear" w:color="auto" w:fill="auto"/>
            <w:vAlign w:val="bottom"/>
            <w:hideMark/>
          </w:tcPr>
          <w:p w:rsidR="0034484F" w:rsidRPr="0034484F" w:rsidRDefault="0034484F" w:rsidP="0034484F">
            <w:pPr>
              <w:spacing w:line="240" w:lineRule="auto"/>
              <w:ind w:firstLine="0"/>
              <w:jc w:val="left"/>
              <w:rPr>
                <w:rFonts w:eastAsia="Times New Roman" w:cs="Times New Roman"/>
                <w:color w:val="000000"/>
                <w:sz w:val="22"/>
                <w:lang w:eastAsia="zh-CN"/>
              </w:rPr>
            </w:pPr>
            <w:r w:rsidRPr="0034484F">
              <w:rPr>
                <w:rFonts w:eastAsia="Times New Roman" w:cs="Times New Roman"/>
                <w:color w:val="000000"/>
                <w:sz w:val="22"/>
                <w:lang w:eastAsia="zh-CN"/>
              </w:rPr>
              <w:t>ИТОГО средства на ремонт помещений</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9</w:t>
            </w:r>
            <w:r w:rsidR="0034484F" w:rsidRPr="0034484F">
              <w:rPr>
                <w:rFonts w:eastAsia="Times New Roman" w:cs="Times New Roman"/>
                <w:color w:val="000000"/>
                <w:sz w:val="22"/>
                <w:lang w:eastAsia="zh-CN"/>
              </w:rPr>
              <w:t>52 582,6</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34484F" w:rsidP="0048536C">
            <w:pPr>
              <w:spacing w:line="240" w:lineRule="auto"/>
              <w:ind w:firstLine="0"/>
              <w:jc w:val="right"/>
              <w:rPr>
                <w:rFonts w:eastAsia="Times New Roman" w:cs="Times New Roman"/>
                <w:color w:val="000000"/>
                <w:sz w:val="22"/>
                <w:lang w:eastAsia="zh-CN"/>
              </w:rPr>
            </w:pPr>
            <w:r w:rsidRPr="0034484F">
              <w:rPr>
                <w:rFonts w:eastAsia="Times New Roman" w:cs="Times New Roman"/>
                <w:color w:val="000000"/>
                <w:sz w:val="22"/>
                <w:lang w:eastAsia="zh-CN"/>
              </w:rPr>
              <w:t xml:space="preserve">1 </w:t>
            </w:r>
            <w:r w:rsidR="0048536C">
              <w:rPr>
                <w:rFonts w:eastAsia="Times New Roman" w:cs="Times New Roman"/>
                <w:color w:val="000000"/>
                <w:sz w:val="22"/>
                <w:lang w:eastAsia="zh-CN"/>
              </w:rPr>
              <w:t>2</w:t>
            </w:r>
            <w:r w:rsidRPr="0034484F">
              <w:rPr>
                <w:rFonts w:eastAsia="Times New Roman" w:cs="Times New Roman"/>
                <w:color w:val="000000"/>
                <w:sz w:val="22"/>
                <w:lang w:eastAsia="zh-CN"/>
              </w:rPr>
              <w:t>45 082,6</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1 2</w:t>
            </w:r>
            <w:r w:rsidR="0034484F" w:rsidRPr="0034484F">
              <w:rPr>
                <w:rFonts w:eastAsia="Times New Roman" w:cs="Times New Roman"/>
                <w:color w:val="000000"/>
                <w:sz w:val="22"/>
                <w:lang w:eastAsia="zh-CN"/>
              </w:rPr>
              <w:t>45 082,6</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1 2</w:t>
            </w:r>
            <w:r w:rsidR="0034484F" w:rsidRPr="0034484F">
              <w:rPr>
                <w:rFonts w:eastAsia="Times New Roman" w:cs="Times New Roman"/>
                <w:color w:val="000000"/>
                <w:sz w:val="22"/>
                <w:lang w:eastAsia="zh-CN"/>
              </w:rPr>
              <w:t>45 082,6</w:t>
            </w:r>
          </w:p>
        </w:tc>
        <w:tc>
          <w:tcPr>
            <w:tcW w:w="641" w:type="pct"/>
            <w:tcBorders>
              <w:top w:val="nil"/>
              <w:left w:val="nil"/>
              <w:bottom w:val="single" w:sz="4" w:space="0" w:color="auto"/>
              <w:right w:val="single" w:sz="4" w:space="0" w:color="auto"/>
            </w:tcBorders>
            <w:shd w:val="clear" w:color="auto" w:fill="auto"/>
            <w:noWrap/>
            <w:vAlign w:val="center"/>
            <w:hideMark/>
          </w:tcPr>
          <w:p w:rsidR="0034484F" w:rsidRPr="0034484F" w:rsidRDefault="0048536C" w:rsidP="0048536C">
            <w:pPr>
              <w:spacing w:line="240" w:lineRule="auto"/>
              <w:ind w:firstLine="0"/>
              <w:jc w:val="right"/>
              <w:rPr>
                <w:rFonts w:eastAsia="Times New Roman" w:cs="Times New Roman"/>
                <w:color w:val="000000"/>
                <w:sz w:val="22"/>
                <w:lang w:eastAsia="zh-CN"/>
              </w:rPr>
            </w:pPr>
            <w:r>
              <w:rPr>
                <w:rFonts w:eastAsia="Times New Roman" w:cs="Times New Roman"/>
                <w:color w:val="000000"/>
                <w:sz w:val="22"/>
                <w:lang w:eastAsia="zh-CN"/>
              </w:rPr>
              <w:t>1 2</w:t>
            </w:r>
            <w:r w:rsidR="0034484F" w:rsidRPr="0034484F">
              <w:rPr>
                <w:rFonts w:eastAsia="Times New Roman" w:cs="Times New Roman"/>
                <w:color w:val="000000"/>
                <w:sz w:val="22"/>
                <w:lang w:eastAsia="zh-CN"/>
              </w:rPr>
              <w:t>45 082,6</w:t>
            </w:r>
          </w:p>
        </w:tc>
      </w:tr>
    </w:tbl>
    <w:p w:rsidR="0034484F" w:rsidRDefault="0034484F" w:rsidP="00363578"/>
    <w:p w:rsidR="0048536C" w:rsidRDefault="0048536C" w:rsidP="00363578">
      <w:r>
        <w:t xml:space="preserve">Итого при оптимальном раскладе на ремонт за период с 2018 по 2022 год может быть выделено минимально более 5,9 млн рублей. При этом учитывая показатели демографии и статус лидирующего ДЮЦ в городе, а также тот факт, что среди дополнительных образовательных услуг более 80% приходится на дошкольные образовательные услуги следует ожидать даже роста спроса на данные услуги и в перспективе роста доходов от оказания платных услуг, а также получение дополнительного дохода в виде добровольных пожертвований и арендной платы. </w:t>
      </w:r>
      <w:bookmarkStart w:id="0" w:name="_GoBack"/>
      <w:bookmarkEnd w:id="0"/>
    </w:p>
    <w:sectPr w:rsidR="0048536C" w:rsidSect="00F02DA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C8" w:rsidRDefault="00E51CC8" w:rsidP="005F4C93">
      <w:pPr>
        <w:spacing w:line="240" w:lineRule="auto"/>
      </w:pPr>
      <w:r>
        <w:separator/>
      </w:r>
    </w:p>
  </w:endnote>
  <w:endnote w:type="continuationSeparator" w:id="0">
    <w:p w:rsidR="00E51CC8" w:rsidRDefault="00E51CC8" w:rsidP="005F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C8" w:rsidRDefault="00E51CC8" w:rsidP="005F4C93">
      <w:pPr>
        <w:spacing w:line="240" w:lineRule="auto"/>
      </w:pPr>
      <w:r>
        <w:separator/>
      </w:r>
    </w:p>
  </w:footnote>
  <w:footnote w:type="continuationSeparator" w:id="0">
    <w:p w:rsidR="00E51CC8" w:rsidRDefault="00E51CC8" w:rsidP="005F4C93">
      <w:pPr>
        <w:spacing w:line="240" w:lineRule="auto"/>
      </w:pPr>
      <w:r>
        <w:continuationSeparator/>
      </w:r>
    </w:p>
  </w:footnote>
  <w:footnote w:id="1">
    <w:p w:rsidR="00E51CC8" w:rsidRDefault="00E51CC8" w:rsidP="001D7CDC">
      <w:pPr>
        <w:pStyle w:val="af"/>
      </w:pPr>
      <w:r>
        <w:rPr>
          <w:rStyle w:val="af1"/>
        </w:rPr>
        <w:footnoteRef/>
      </w:r>
      <w:r>
        <w:t xml:space="preserve"> Исходя из темпа роста 1,05 в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20700"/>
      <w:docPartObj>
        <w:docPartGallery w:val="Page Numbers (Top of Page)"/>
        <w:docPartUnique/>
      </w:docPartObj>
    </w:sdtPr>
    <w:sdtContent>
      <w:p w:rsidR="00E51CC8" w:rsidRDefault="00E51CC8" w:rsidP="00C4000F">
        <w:pPr>
          <w:pStyle w:val="a9"/>
          <w:ind w:firstLine="0"/>
          <w:jc w:val="center"/>
        </w:pPr>
        <w:r>
          <w:fldChar w:fldCharType="begin"/>
        </w:r>
        <w:r>
          <w:instrText>PAGE   \* MERGEFORMAT</w:instrText>
        </w:r>
        <w:r>
          <w:fldChar w:fldCharType="separate"/>
        </w:r>
        <w:r w:rsidR="0048536C">
          <w:rPr>
            <w:noProof/>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E38"/>
    <w:multiLevelType w:val="hybridMultilevel"/>
    <w:tmpl w:val="0B481D74"/>
    <w:lvl w:ilvl="0" w:tplc="FD206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D66713"/>
    <w:multiLevelType w:val="hybridMultilevel"/>
    <w:tmpl w:val="E41CC3AE"/>
    <w:lvl w:ilvl="0" w:tplc="BF9C5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1548FD"/>
    <w:multiLevelType w:val="hybridMultilevel"/>
    <w:tmpl w:val="CC184EFA"/>
    <w:lvl w:ilvl="0" w:tplc="96AE240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6CD5A10"/>
    <w:multiLevelType w:val="hybridMultilevel"/>
    <w:tmpl w:val="A7841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05BD"/>
    <w:rsid w:val="00057976"/>
    <w:rsid w:val="000D79B8"/>
    <w:rsid w:val="001319D3"/>
    <w:rsid w:val="00157967"/>
    <w:rsid w:val="00177827"/>
    <w:rsid w:val="001803B0"/>
    <w:rsid w:val="00181C83"/>
    <w:rsid w:val="001D7CDC"/>
    <w:rsid w:val="00225882"/>
    <w:rsid w:val="00232F16"/>
    <w:rsid w:val="002534D9"/>
    <w:rsid w:val="0034484F"/>
    <w:rsid w:val="00363578"/>
    <w:rsid w:val="0036641A"/>
    <w:rsid w:val="00370336"/>
    <w:rsid w:val="00376D60"/>
    <w:rsid w:val="003B56F2"/>
    <w:rsid w:val="003D5070"/>
    <w:rsid w:val="003E1720"/>
    <w:rsid w:val="00426CD0"/>
    <w:rsid w:val="00442AD0"/>
    <w:rsid w:val="0048536C"/>
    <w:rsid w:val="0048588A"/>
    <w:rsid w:val="0055047B"/>
    <w:rsid w:val="005541ED"/>
    <w:rsid w:val="005B379E"/>
    <w:rsid w:val="005C2E51"/>
    <w:rsid w:val="005F143A"/>
    <w:rsid w:val="005F4C93"/>
    <w:rsid w:val="006326C8"/>
    <w:rsid w:val="006706AA"/>
    <w:rsid w:val="006D0E12"/>
    <w:rsid w:val="00750E91"/>
    <w:rsid w:val="0079248C"/>
    <w:rsid w:val="0080711A"/>
    <w:rsid w:val="0088529D"/>
    <w:rsid w:val="0088532E"/>
    <w:rsid w:val="0088579F"/>
    <w:rsid w:val="00887F9E"/>
    <w:rsid w:val="008A5FFC"/>
    <w:rsid w:val="008C0AC5"/>
    <w:rsid w:val="00907349"/>
    <w:rsid w:val="0093025E"/>
    <w:rsid w:val="009576E1"/>
    <w:rsid w:val="009605BD"/>
    <w:rsid w:val="00961FA3"/>
    <w:rsid w:val="00967FB5"/>
    <w:rsid w:val="0098605C"/>
    <w:rsid w:val="009B50A1"/>
    <w:rsid w:val="009C3606"/>
    <w:rsid w:val="009D64B5"/>
    <w:rsid w:val="00A16870"/>
    <w:rsid w:val="00A6085C"/>
    <w:rsid w:val="00A7426E"/>
    <w:rsid w:val="00A8739D"/>
    <w:rsid w:val="00AB4327"/>
    <w:rsid w:val="00AD1D2D"/>
    <w:rsid w:val="00AE1EC6"/>
    <w:rsid w:val="00AE3F03"/>
    <w:rsid w:val="00B266CB"/>
    <w:rsid w:val="00B3718E"/>
    <w:rsid w:val="00B55F56"/>
    <w:rsid w:val="00BD2EEA"/>
    <w:rsid w:val="00C23062"/>
    <w:rsid w:val="00C25305"/>
    <w:rsid w:val="00C4000F"/>
    <w:rsid w:val="00C510E6"/>
    <w:rsid w:val="00C5214E"/>
    <w:rsid w:val="00C53CEC"/>
    <w:rsid w:val="00C76E6F"/>
    <w:rsid w:val="00C9290F"/>
    <w:rsid w:val="00CE42B6"/>
    <w:rsid w:val="00CE7C6C"/>
    <w:rsid w:val="00D60D24"/>
    <w:rsid w:val="00D962C2"/>
    <w:rsid w:val="00DA03D8"/>
    <w:rsid w:val="00E27991"/>
    <w:rsid w:val="00E51CC8"/>
    <w:rsid w:val="00E57E36"/>
    <w:rsid w:val="00EA7450"/>
    <w:rsid w:val="00ED3CD2"/>
    <w:rsid w:val="00F02DA0"/>
    <w:rsid w:val="00F17F03"/>
    <w:rsid w:val="00F7343B"/>
    <w:rsid w:val="00FA11FF"/>
    <w:rsid w:val="00FA5AF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5103E0"/>
  <w15:docId w15:val="{ECD2F097-BDFA-4C02-904C-024930F8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529D"/>
    <w:pPr>
      <w:spacing w:after="0" w:line="360" w:lineRule="auto"/>
      <w:ind w:firstLine="709"/>
      <w:jc w:val="both"/>
    </w:pPr>
    <w:rPr>
      <w:rFonts w:ascii="Times New Roman" w:hAnsi="Times New Roman"/>
      <w:sz w:val="28"/>
    </w:rPr>
  </w:style>
  <w:style w:type="paragraph" w:styleId="1">
    <w:name w:val="heading 1"/>
    <w:basedOn w:val="a0"/>
    <w:next w:val="a0"/>
    <w:link w:val="10"/>
    <w:uiPriority w:val="9"/>
    <w:qFormat/>
    <w:rsid w:val="0088529D"/>
    <w:pPr>
      <w:keepNext/>
      <w:keepLines/>
      <w:pageBreakBefore/>
      <w:suppressAutoHyphens/>
      <w:spacing w:after="120" w:line="240" w:lineRule="auto"/>
      <w:ind w:firstLine="0"/>
      <w:jc w:val="center"/>
      <w:outlineLvl w:val="0"/>
    </w:pPr>
    <w:rPr>
      <w:rFonts w:eastAsiaTheme="majorEastAsia" w:cstheme="majorBidi"/>
      <w:b/>
      <w:bCs/>
      <w:sz w:val="32"/>
      <w:szCs w:val="28"/>
    </w:rPr>
  </w:style>
  <w:style w:type="paragraph" w:styleId="2">
    <w:name w:val="heading 2"/>
    <w:basedOn w:val="a0"/>
    <w:next w:val="a0"/>
    <w:link w:val="20"/>
    <w:uiPriority w:val="9"/>
    <w:unhideWhenUsed/>
    <w:qFormat/>
    <w:rsid w:val="00BD2EEA"/>
    <w:pPr>
      <w:keepNext/>
      <w:keepLines/>
      <w:suppressAutoHyphens/>
      <w:spacing w:before="120" w:after="120" w:line="240" w:lineRule="auto"/>
      <w:ind w:firstLine="0"/>
      <w:jc w:val="center"/>
      <w:outlineLvl w:val="1"/>
    </w:pPr>
    <w:rPr>
      <w:rFonts w:eastAsiaTheme="majorEastAsia" w:cstheme="majorBidi"/>
      <w:b/>
      <w:bCs/>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8529D"/>
    <w:rPr>
      <w:rFonts w:ascii="Times New Roman" w:eastAsiaTheme="majorEastAsia" w:hAnsi="Times New Roman" w:cstheme="majorBidi"/>
      <w:b/>
      <w:bCs/>
      <w:sz w:val="32"/>
      <w:szCs w:val="28"/>
    </w:rPr>
  </w:style>
  <w:style w:type="character" w:customStyle="1" w:styleId="20">
    <w:name w:val="Заголовок 2 Знак"/>
    <w:basedOn w:val="a1"/>
    <w:link w:val="2"/>
    <w:uiPriority w:val="9"/>
    <w:rsid w:val="00BD2EEA"/>
    <w:rPr>
      <w:rFonts w:ascii="Times New Roman" w:eastAsiaTheme="majorEastAsia" w:hAnsi="Times New Roman" w:cstheme="majorBidi"/>
      <w:b/>
      <w:bCs/>
      <w:sz w:val="24"/>
      <w:szCs w:val="26"/>
    </w:rPr>
  </w:style>
  <w:style w:type="paragraph" w:styleId="a4">
    <w:name w:val="Normal (Web)"/>
    <w:basedOn w:val="a0"/>
    <w:uiPriority w:val="99"/>
    <w:semiHidden/>
    <w:unhideWhenUsed/>
    <w:rsid w:val="00BD2EEA"/>
    <w:pPr>
      <w:spacing w:before="100" w:beforeAutospacing="1" w:after="100" w:afterAutospacing="1" w:line="240" w:lineRule="auto"/>
      <w:ind w:firstLine="0"/>
      <w:jc w:val="left"/>
    </w:pPr>
    <w:rPr>
      <w:rFonts w:eastAsia="Times New Roman" w:cs="Times New Roman"/>
      <w:szCs w:val="24"/>
      <w:lang w:eastAsia="ru-RU"/>
    </w:rPr>
  </w:style>
  <w:style w:type="character" w:styleId="a5">
    <w:name w:val="Strong"/>
    <w:basedOn w:val="a1"/>
    <w:uiPriority w:val="22"/>
    <w:qFormat/>
    <w:rsid w:val="00BD2EEA"/>
    <w:rPr>
      <w:b/>
      <w:bCs/>
    </w:rPr>
  </w:style>
  <w:style w:type="character" w:styleId="a6">
    <w:name w:val="Hyperlink"/>
    <w:basedOn w:val="a1"/>
    <w:uiPriority w:val="99"/>
    <w:semiHidden/>
    <w:unhideWhenUsed/>
    <w:rsid w:val="00A6085C"/>
    <w:rPr>
      <w:color w:val="0000FF"/>
      <w:u w:val="single"/>
    </w:rPr>
  </w:style>
  <w:style w:type="paragraph" w:styleId="a7">
    <w:name w:val="No Spacing"/>
    <w:uiPriority w:val="1"/>
    <w:qFormat/>
    <w:rsid w:val="0055047B"/>
    <w:pPr>
      <w:spacing w:after="0" w:line="240" w:lineRule="auto"/>
    </w:pPr>
    <w:rPr>
      <w:rFonts w:ascii="Times New Roman" w:eastAsia="Times New Roman" w:hAnsi="Times New Roman" w:cs="Times New Roman"/>
      <w:sz w:val="24"/>
      <w:szCs w:val="24"/>
      <w:lang w:eastAsia="ru-RU"/>
    </w:rPr>
  </w:style>
  <w:style w:type="paragraph" w:customStyle="1" w:styleId="a8">
    <w:name w:val="Рисунок"/>
    <w:basedOn w:val="a0"/>
    <w:qFormat/>
    <w:rsid w:val="006706AA"/>
    <w:pPr>
      <w:suppressAutoHyphens/>
      <w:spacing w:line="240" w:lineRule="auto"/>
      <w:ind w:firstLine="0"/>
      <w:jc w:val="center"/>
    </w:pPr>
    <w:rPr>
      <w:b/>
      <w:sz w:val="22"/>
    </w:rPr>
  </w:style>
  <w:style w:type="paragraph" w:styleId="a9">
    <w:name w:val="header"/>
    <w:basedOn w:val="a0"/>
    <w:link w:val="aa"/>
    <w:uiPriority w:val="99"/>
    <w:unhideWhenUsed/>
    <w:rsid w:val="005F4C93"/>
    <w:pPr>
      <w:tabs>
        <w:tab w:val="center" w:pos="4677"/>
        <w:tab w:val="right" w:pos="9355"/>
      </w:tabs>
      <w:spacing w:line="240" w:lineRule="auto"/>
    </w:pPr>
  </w:style>
  <w:style w:type="character" w:customStyle="1" w:styleId="aa">
    <w:name w:val="Верхний колонтитул Знак"/>
    <w:basedOn w:val="a1"/>
    <w:link w:val="a9"/>
    <w:uiPriority w:val="99"/>
    <w:rsid w:val="005F4C93"/>
    <w:rPr>
      <w:rFonts w:ascii="Times New Roman" w:hAnsi="Times New Roman"/>
      <w:sz w:val="24"/>
    </w:rPr>
  </w:style>
  <w:style w:type="paragraph" w:styleId="ab">
    <w:name w:val="footer"/>
    <w:basedOn w:val="a0"/>
    <w:link w:val="ac"/>
    <w:uiPriority w:val="99"/>
    <w:unhideWhenUsed/>
    <w:rsid w:val="005F4C93"/>
    <w:pPr>
      <w:tabs>
        <w:tab w:val="center" w:pos="4677"/>
        <w:tab w:val="right" w:pos="9355"/>
      </w:tabs>
      <w:spacing w:line="240" w:lineRule="auto"/>
    </w:pPr>
  </w:style>
  <w:style w:type="character" w:customStyle="1" w:styleId="ac">
    <w:name w:val="Нижний колонтитул Знак"/>
    <w:basedOn w:val="a1"/>
    <w:link w:val="ab"/>
    <w:uiPriority w:val="99"/>
    <w:rsid w:val="005F4C93"/>
    <w:rPr>
      <w:rFonts w:ascii="Times New Roman" w:hAnsi="Times New Roman"/>
      <w:sz w:val="24"/>
    </w:rPr>
  </w:style>
  <w:style w:type="paragraph" w:customStyle="1" w:styleId="a">
    <w:name w:val="Список маркер"/>
    <w:basedOn w:val="a0"/>
    <w:qFormat/>
    <w:rsid w:val="00CE42B6"/>
    <w:pPr>
      <w:numPr>
        <w:numId w:val="1"/>
      </w:numPr>
      <w:ind w:left="1066" w:hanging="357"/>
    </w:pPr>
  </w:style>
  <w:style w:type="paragraph" w:customStyle="1" w:styleId="ad">
    <w:name w:val="Номер таблицы"/>
    <w:basedOn w:val="a0"/>
    <w:qFormat/>
    <w:rsid w:val="00057976"/>
    <w:pPr>
      <w:spacing w:before="120" w:after="120" w:line="240" w:lineRule="auto"/>
      <w:ind w:firstLine="0"/>
      <w:jc w:val="right"/>
    </w:pPr>
    <w:rPr>
      <w:b/>
      <w:sz w:val="24"/>
    </w:rPr>
  </w:style>
  <w:style w:type="paragraph" w:customStyle="1" w:styleId="ae">
    <w:name w:val="Название таблицы"/>
    <w:basedOn w:val="ad"/>
    <w:qFormat/>
    <w:rsid w:val="00057976"/>
    <w:pPr>
      <w:spacing w:before="0"/>
      <w:jc w:val="center"/>
    </w:pPr>
  </w:style>
  <w:style w:type="paragraph" w:styleId="af">
    <w:name w:val="footnote text"/>
    <w:basedOn w:val="a0"/>
    <w:link w:val="af0"/>
    <w:uiPriority w:val="99"/>
    <w:semiHidden/>
    <w:unhideWhenUsed/>
    <w:rsid w:val="001D7CDC"/>
    <w:pPr>
      <w:spacing w:line="240" w:lineRule="auto"/>
    </w:pPr>
    <w:rPr>
      <w:sz w:val="20"/>
      <w:szCs w:val="20"/>
    </w:rPr>
  </w:style>
  <w:style w:type="character" w:customStyle="1" w:styleId="af0">
    <w:name w:val="Текст сноски Знак"/>
    <w:basedOn w:val="a1"/>
    <w:link w:val="af"/>
    <w:uiPriority w:val="99"/>
    <w:semiHidden/>
    <w:rsid w:val="001D7CDC"/>
    <w:rPr>
      <w:rFonts w:ascii="Times New Roman" w:hAnsi="Times New Roman"/>
      <w:sz w:val="20"/>
      <w:szCs w:val="20"/>
    </w:rPr>
  </w:style>
  <w:style w:type="character" w:styleId="af1">
    <w:name w:val="footnote reference"/>
    <w:basedOn w:val="a1"/>
    <w:uiPriority w:val="99"/>
    <w:semiHidden/>
    <w:unhideWhenUsed/>
    <w:rsid w:val="001D7CDC"/>
    <w:rPr>
      <w:vertAlign w:val="superscript"/>
    </w:rPr>
  </w:style>
  <w:style w:type="paragraph" w:styleId="af2">
    <w:name w:val="List Paragraph"/>
    <w:basedOn w:val="a0"/>
    <w:uiPriority w:val="34"/>
    <w:qFormat/>
    <w:rsid w:val="00157967"/>
    <w:pPr>
      <w:ind w:left="720"/>
      <w:contextualSpacing/>
    </w:pPr>
  </w:style>
  <w:style w:type="table" w:styleId="af3">
    <w:name w:val="Table Grid"/>
    <w:basedOn w:val="a2"/>
    <w:uiPriority w:val="59"/>
    <w:rsid w:val="00E57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075">
      <w:bodyDiv w:val="1"/>
      <w:marLeft w:val="0"/>
      <w:marRight w:val="0"/>
      <w:marTop w:val="0"/>
      <w:marBottom w:val="0"/>
      <w:divBdr>
        <w:top w:val="none" w:sz="0" w:space="0" w:color="auto"/>
        <w:left w:val="none" w:sz="0" w:space="0" w:color="auto"/>
        <w:bottom w:val="none" w:sz="0" w:space="0" w:color="auto"/>
        <w:right w:val="none" w:sz="0" w:space="0" w:color="auto"/>
      </w:divBdr>
    </w:div>
    <w:div w:id="123697805">
      <w:bodyDiv w:val="1"/>
      <w:marLeft w:val="0"/>
      <w:marRight w:val="0"/>
      <w:marTop w:val="0"/>
      <w:marBottom w:val="0"/>
      <w:divBdr>
        <w:top w:val="none" w:sz="0" w:space="0" w:color="auto"/>
        <w:left w:val="none" w:sz="0" w:space="0" w:color="auto"/>
        <w:bottom w:val="none" w:sz="0" w:space="0" w:color="auto"/>
        <w:right w:val="none" w:sz="0" w:space="0" w:color="auto"/>
      </w:divBdr>
    </w:div>
    <w:div w:id="159390473">
      <w:bodyDiv w:val="1"/>
      <w:marLeft w:val="0"/>
      <w:marRight w:val="0"/>
      <w:marTop w:val="0"/>
      <w:marBottom w:val="0"/>
      <w:divBdr>
        <w:top w:val="none" w:sz="0" w:space="0" w:color="auto"/>
        <w:left w:val="none" w:sz="0" w:space="0" w:color="auto"/>
        <w:bottom w:val="none" w:sz="0" w:space="0" w:color="auto"/>
        <w:right w:val="none" w:sz="0" w:space="0" w:color="auto"/>
      </w:divBdr>
    </w:div>
    <w:div w:id="320819491">
      <w:bodyDiv w:val="1"/>
      <w:marLeft w:val="0"/>
      <w:marRight w:val="0"/>
      <w:marTop w:val="0"/>
      <w:marBottom w:val="0"/>
      <w:divBdr>
        <w:top w:val="none" w:sz="0" w:space="0" w:color="auto"/>
        <w:left w:val="none" w:sz="0" w:space="0" w:color="auto"/>
        <w:bottom w:val="none" w:sz="0" w:space="0" w:color="auto"/>
        <w:right w:val="none" w:sz="0" w:space="0" w:color="auto"/>
      </w:divBdr>
    </w:div>
    <w:div w:id="349068056">
      <w:bodyDiv w:val="1"/>
      <w:marLeft w:val="0"/>
      <w:marRight w:val="0"/>
      <w:marTop w:val="0"/>
      <w:marBottom w:val="0"/>
      <w:divBdr>
        <w:top w:val="none" w:sz="0" w:space="0" w:color="auto"/>
        <w:left w:val="none" w:sz="0" w:space="0" w:color="auto"/>
        <w:bottom w:val="none" w:sz="0" w:space="0" w:color="auto"/>
        <w:right w:val="none" w:sz="0" w:space="0" w:color="auto"/>
      </w:divBdr>
    </w:div>
    <w:div w:id="404109984">
      <w:bodyDiv w:val="1"/>
      <w:marLeft w:val="0"/>
      <w:marRight w:val="0"/>
      <w:marTop w:val="0"/>
      <w:marBottom w:val="0"/>
      <w:divBdr>
        <w:top w:val="none" w:sz="0" w:space="0" w:color="auto"/>
        <w:left w:val="none" w:sz="0" w:space="0" w:color="auto"/>
        <w:bottom w:val="none" w:sz="0" w:space="0" w:color="auto"/>
        <w:right w:val="none" w:sz="0" w:space="0" w:color="auto"/>
      </w:divBdr>
    </w:div>
    <w:div w:id="435097046">
      <w:bodyDiv w:val="1"/>
      <w:marLeft w:val="0"/>
      <w:marRight w:val="0"/>
      <w:marTop w:val="0"/>
      <w:marBottom w:val="0"/>
      <w:divBdr>
        <w:top w:val="none" w:sz="0" w:space="0" w:color="auto"/>
        <w:left w:val="none" w:sz="0" w:space="0" w:color="auto"/>
        <w:bottom w:val="none" w:sz="0" w:space="0" w:color="auto"/>
        <w:right w:val="none" w:sz="0" w:space="0" w:color="auto"/>
      </w:divBdr>
    </w:div>
    <w:div w:id="718165028">
      <w:bodyDiv w:val="1"/>
      <w:marLeft w:val="0"/>
      <w:marRight w:val="0"/>
      <w:marTop w:val="0"/>
      <w:marBottom w:val="0"/>
      <w:divBdr>
        <w:top w:val="none" w:sz="0" w:space="0" w:color="auto"/>
        <w:left w:val="none" w:sz="0" w:space="0" w:color="auto"/>
        <w:bottom w:val="none" w:sz="0" w:space="0" w:color="auto"/>
        <w:right w:val="none" w:sz="0" w:space="0" w:color="auto"/>
      </w:divBdr>
    </w:div>
    <w:div w:id="731581049">
      <w:bodyDiv w:val="1"/>
      <w:marLeft w:val="0"/>
      <w:marRight w:val="0"/>
      <w:marTop w:val="0"/>
      <w:marBottom w:val="0"/>
      <w:divBdr>
        <w:top w:val="none" w:sz="0" w:space="0" w:color="auto"/>
        <w:left w:val="none" w:sz="0" w:space="0" w:color="auto"/>
        <w:bottom w:val="none" w:sz="0" w:space="0" w:color="auto"/>
        <w:right w:val="none" w:sz="0" w:space="0" w:color="auto"/>
      </w:divBdr>
    </w:div>
    <w:div w:id="756096726">
      <w:bodyDiv w:val="1"/>
      <w:marLeft w:val="0"/>
      <w:marRight w:val="0"/>
      <w:marTop w:val="0"/>
      <w:marBottom w:val="0"/>
      <w:divBdr>
        <w:top w:val="none" w:sz="0" w:space="0" w:color="auto"/>
        <w:left w:val="none" w:sz="0" w:space="0" w:color="auto"/>
        <w:bottom w:val="none" w:sz="0" w:space="0" w:color="auto"/>
        <w:right w:val="none" w:sz="0" w:space="0" w:color="auto"/>
      </w:divBdr>
    </w:div>
    <w:div w:id="908080834">
      <w:bodyDiv w:val="1"/>
      <w:marLeft w:val="0"/>
      <w:marRight w:val="0"/>
      <w:marTop w:val="0"/>
      <w:marBottom w:val="0"/>
      <w:divBdr>
        <w:top w:val="none" w:sz="0" w:space="0" w:color="auto"/>
        <w:left w:val="none" w:sz="0" w:space="0" w:color="auto"/>
        <w:bottom w:val="none" w:sz="0" w:space="0" w:color="auto"/>
        <w:right w:val="none" w:sz="0" w:space="0" w:color="auto"/>
      </w:divBdr>
    </w:div>
    <w:div w:id="1188711887">
      <w:bodyDiv w:val="1"/>
      <w:marLeft w:val="0"/>
      <w:marRight w:val="0"/>
      <w:marTop w:val="0"/>
      <w:marBottom w:val="0"/>
      <w:divBdr>
        <w:top w:val="none" w:sz="0" w:space="0" w:color="auto"/>
        <w:left w:val="none" w:sz="0" w:space="0" w:color="auto"/>
        <w:bottom w:val="none" w:sz="0" w:space="0" w:color="auto"/>
        <w:right w:val="none" w:sz="0" w:space="0" w:color="auto"/>
      </w:divBdr>
    </w:div>
    <w:div w:id="1391921517">
      <w:bodyDiv w:val="1"/>
      <w:marLeft w:val="0"/>
      <w:marRight w:val="0"/>
      <w:marTop w:val="0"/>
      <w:marBottom w:val="0"/>
      <w:divBdr>
        <w:top w:val="none" w:sz="0" w:space="0" w:color="auto"/>
        <w:left w:val="none" w:sz="0" w:space="0" w:color="auto"/>
        <w:bottom w:val="none" w:sz="0" w:space="0" w:color="auto"/>
        <w:right w:val="none" w:sz="0" w:space="0" w:color="auto"/>
      </w:divBdr>
    </w:div>
    <w:div w:id="1595741335">
      <w:bodyDiv w:val="1"/>
      <w:marLeft w:val="0"/>
      <w:marRight w:val="0"/>
      <w:marTop w:val="0"/>
      <w:marBottom w:val="0"/>
      <w:divBdr>
        <w:top w:val="none" w:sz="0" w:space="0" w:color="auto"/>
        <w:left w:val="none" w:sz="0" w:space="0" w:color="auto"/>
        <w:bottom w:val="none" w:sz="0" w:space="0" w:color="auto"/>
        <w:right w:val="none" w:sz="0" w:space="0" w:color="auto"/>
      </w:divBdr>
    </w:div>
    <w:div w:id="1671366224">
      <w:bodyDiv w:val="1"/>
      <w:marLeft w:val="0"/>
      <w:marRight w:val="0"/>
      <w:marTop w:val="0"/>
      <w:marBottom w:val="0"/>
      <w:divBdr>
        <w:top w:val="none" w:sz="0" w:space="0" w:color="auto"/>
        <w:left w:val="none" w:sz="0" w:space="0" w:color="auto"/>
        <w:bottom w:val="none" w:sz="0" w:space="0" w:color="auto"/>
        <w:right w:val="none" w:sz="0" w:space="0" w:color="auto"/>
      </w:divBdr>
    </w:div>
    <w:div w:id="1680042612">
      <w:bodyDiv w:val="1"/>
      <w:marLeft w:val="0"/>
      <w:marRight w:val="0"/>
      <w:marTop w:val="0"/>
      <w:marBottom w:val="0"/>
      <w:divBdr>
        <w:top w:val="none" w:sz="0" w:space="0" w:color="auto"/>
        <w:left w:val="none" w:sz="0" w:space="0" w:color="auto"/>
        <w:bottom w:val="none" w:sz="0" w:space="0" w:color="auto"/>
        <w:right w:val="none" w:sz="0" w:space="0" w:color="auto"/>
      </w:divBdr>
    </w:div>
    <w:div w:id="1808163145">
      <w:bodyDiv w:val="1"/>
      <w:marLeft w:val="0"/>
      <w:marRight w:val="0"/>
      <w:marTop w:val="0"/>
      <w:marBottom w:val="0"/>
      <w:divBdr>
        <w:top w:val="none" w:sz="0" w:space="0" w:color="auto"/>
        <w:left w:val="none" w:sz="0" w:space="0" w:color="auto"/>
        <w:bottom w:val="none" w:sz="0" w:space="0" w:color="auto"/>
        <w:right w:val="none" w:sz="0" w:space="0" w:color="auto"/>
      </w:divBdr>
    </w:div>
    <w:div w:id="18461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com/maps/5/ivanovo/house/3_ya_sosnevskaya_ulitsa_139/41.024451,56.987781/"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E:\&#1044;&#105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Демография!$A$21</c:f>
              <c:strCache>
                <c:ptCount val="1"/>
                <c:pt idx="0">
                  <c:v>Мальчики , на 1000 человек </c:v>
                </c:pt>
              </c:strCache>
            </c:strRef>
          </c:tx>
          <c:spPr>
            <a:ln w="28575" cap="rnd">
              <a:solidFill>
                <a:schemeClr val="accent1"/>
              </a:solidFill>
              <a:round/>
            </a:ln>
            <a:effectLst/>
          </c:spPr>
          <c:marker>
            <c:symbol val="none"/>
          </c:marker>
          <c:cat>
            <c:numRef>
              <c:f>Демография!$B$20:$H$20</c:f>
              <c:numCache>
                <c:formatCode>General</c:formatCode>
                <c:ptCount val="7"/>
                <c:pt idx="0">
                  <c:v>2005</c:v>
                </c:pt>
                <c:pt idx="1">
                  <c:v>2010</c:v>
                </c:pt>
                <c:pt idx="2">
                  <c:v>2011</c:v>
                </c:pt>
                <c:pt idx="3">
                  <c:v>2012</c:v>
                </c:pt>
                <c:pt idx="4">
                  <c:v>2013</c:v>
                </c:pt>
                <c:pt idx="5">
                  <c:v>2014</c:v>
                </c:pt>
                <c:pt idx="6">
                  <c:v>2015</c:v>
                </c:pt>
              </c:numCache>
            </c:numRef>
          </c:cat>
          <c:val>
            <c:numRef>
              <c:f>Демография!$B$21:$H$21</c:f>
              <c:numCache>
                <c:formatCode>General</c:formatCode>
                <c:ptCount val="7"/>
                <c:pt idx="0">
                  <c:v>13.4</c:v>
                </c:pt>
                <c:pt idx="1">
                  <c:v>7.2</c:v>
                </c:pt>
                <c:pt idx="2">
                  <c:v>10.799999999999999</c:v>
                </c:pt>
                <c:pt idx="3">
                  <c:v>8.4</c:v>
                </c:pt>
                <c:pt idx="4">
                  <c:v>9.2999999999999989</c:v>
                </c:pt>
                <c:pt idx="5">
                  <c:v>7.5</c:v>
                </c:pt>
                <c:pt idx="6">
                  <c:v>6.5</c:v>
                </c:pt>
              </c:numCache>
            </c:numRef>
          </c:val>
          <c:smooth val="0"/>
          <c:extLst>
            <c:ext xmlns:c16="http://schemas.microsoft.com/office/drawing/2014/chart" uri="{C3380CC4-5D6E-409C-BE32-E72D297353CC}">
              <c16:uniqueId val="{00000000-327E-4265-B3A5-2807DD78E05E}"/>
            </c:ext>
          </c:extLst>
        </c:ser>
        <c:ser>
          <c:idx val="1"/>
          <c:order val="1"/>
          <c:tx>
            <c:strRef>
              <c:f>Демография!$A$22</c:f>
              <c:strCache>
                <c:ptCount val="1"/>
                <c:pt idx="0">
                  <c:v>Девочки, на 1000 человек</c:v>
                </c:pt>
              </c:strCache>
            </c:strRef>
          </c:tx>
          <c:spPr>
            <a:ln w="28575" cap="rnd">
              <a:solidFill>
                <a:schemeClr val="accent2"/>
              </a:solidFill>
              <a:round/>
            </a:ln>
            <a:effectLst/>
          </c:spPr>
          <c:marker>
            <c:symbol val="none"/>
          </c:marker>
          <c:cat>
            <c:numRef>
              <c:f>Демография!$B$20:$H$20</c:f>
              <c:numCache>
                <c:formatCode>General</c:formatCode>
                <c:ptCount val="7"/>
                <c:pt idx="0">
                  <c:v>2005</c:v>
                </c:pt>
                <c:pt idx="1">
                  <c:v>2010</c:v>
                </c:pt>
                <c:pt idx="2">
                  <c:v>2011</c:v>
                </c:pt>
                <c:pt idx="3">
                  <c:v>2012</c:v>
                </c:pt>
                <c:pt idx="4">
                  <c:v>2013</c:v>
                </c:pt>
                <c:pt idx="5">
                  <c:v>2014</c:v>
                </c:pt>
                <c:pt idx="6">
                  <c:v>2015</c:v>
                </c:pt>
              </c:numCache>
            </c:numRef>
          </c:cat>
          <c:val>
            <c:numRef>
              <c:f>Демография!$B$22:$H$22</c:f>
              <c:numCache>
                <c:formatCode>General</c:formatCode>
                <c:ptCount val="7"/>
                <c:pt idx="0">
                  <c:v>10.199999999999999</c:v>
                </c:pt>
                <c:pt idx="1">
                  <c:v>8.4</c:v>
                </c:pt>
                <c:pt idx="2">
                  <c:v>7.1999999999999993</c:v>
                </c:pt>
                <c:pt idx="3">
                  <c:v>4.8</c:v>
                </c:pt>
                <c:pt idx="4">
                  <c:v>6.7</c:v>
                </c:pt>
                <c:pt idx="5">
                  <c:v>5.4</c:v>
                </c:pt>
                <c:pt idx="6">
                  <c:v>5.4</c:v>
                </c:pt>
              </c:numCache>
            </c:numRef>
          </c:val>
          <c:smooth val="0"/>
          <c:extLst>
            <c:ext xmlns:c16="http://schemas.microsoft.com/office/drawing/2014/chart" uri="{C3380CC4-5D6E-409C-BE32-E72D297353CC}">
              <c16:uniqueId val="{00000001-327E-4265-B3A5-2807DD78E05E}"/>
            </c:ext>
          </c:extLst>
        </c:ser>
        <c:dLbls>
          <c:showLegendKey val="0"/>
          <c:showVal val="0"/>
          <c:showCatName val="0"/>
          <c:showSerName val="0"/>
          <c:showPercent val="0"/>
          <c:showBubbleSize val="0"/>
        </c:dLbls>
        <c:smooth val="0"/>
        <c:axId val="458076144"/>
        <c:axId val="458075160"/>
      </c:lineChart>
      <c:catAx>
        <c:axId val="45807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8075160"/>
        <c:crosses val="autoZero"/>
        <c:auto val="1"/>
        <c:lblAlgn val="ctr"/>
        <c:lblOffset val="100"/>
        <c:noMultiLvlLbl val="0"/>
      </c:catAx>
      <c:valAx>
        <c:axId val="458075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58076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E930-72E8-45F0-BC76-14E527DD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19</Pages>
  <Words>3808</Words>
  <Characters>21708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Пользователь</cp:lastModifiedBy>
  <cp:revision>7</cp:revision>
  <dcterms:created xsi:type="dcterms:W3CDTF">2017-09-09T00:15:00Z</dcterms:created>
  <dcterms:modified xsi:type="dcterms:W3CDTF">2017-09-25T10:43:00Z</dcterms:modified>
</cp:coreProperties>
</file>